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5B" w:rsidRDefault="00DB725B" w:rsidP="005B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6EE9" w:rsidRPr="00447B05" w:rsidRDefault="00BB6EE9" w:rsidP="005B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NORMELE/STANDARDELE DE CONDUITĂ A FUNCȚIONARILOR PUBLICI</w:t>
      </w:r>
    </w:p>
    <w:p w:rsidR="00DB725B" w:rsidRDefault="000B661D" w:rsidP="005B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prevăzute</w:t>
      </w:r>
      <w:proofErr w:type="gramEnd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la art. </w:t>
      </w: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430, 432-436,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440,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441,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443,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444 și 446-449</w:t>
      </w:r>
      <w:r w:rsidR="00EF4C98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din OUG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nr.</w:t>
      </w:r>
      <w:proofErr w:type="gramEnd"/>
      <w:r w:rsidR="00EF4C98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57/2019, </w:t>
      </w:r>
    </w:p>
    <w:p w:rsidR="00843098" w:rsidRPr="00447B05" w:rsidRDefault="00EF4C98" w:rsidP="005B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cu</w:t>
      </w:r>
      <w:proofErr w:type="gramEnd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modificările și completăril</w:t>
      </w:r>
      <w:r w:rsidR="00BB6EE9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ulterioare, Codul administrativ</w:t>
      </w:r>
    </w:p>
    <w:p w:rsidR="00EF4C98" w:rsidRDefault="00EF4C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725B" w:rsidRPr="00447B05" w:rsidRDefault="00DB725B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430: Respectarea Constituţiei şi a legilor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obligaţia ca prin actele şi faptele lor să promoveze supremaţia legii, să respecte Constituţia şi</w:t>
      </w:r>
      <w:r w:rsidR="000B661D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legile ţării, statul de drept, drepturile şi libertăţile fundamentale ale cetăţenilor în relaţia cu administraţia publică, precum</w:t>
      </w:r>
      <w:r w:rsidR="000B661D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şi să acţioneze pentru punerea în aplicare a dispoziţiilor legale în conformitate cu atribuţiile care le revin, cu aplicarea</w:t>
      </w:r>
      <w:r w:rsidR="000B661D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normelor de conduită care rezultă din îndatoririle prevăzute de lege.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conformeze dispoziţiilor legale privind restrângerea exerciţiului unor drepturi,</w:t>
      </w:r>
      <w:r w:rsidR="000B661D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datorată naturii funcţiilor publice deţinute.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432: Obligaţii în exercitarea dreptului la libera exprimare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dreptul la libera exprimare, în condiţiile legii.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exercitarea dreptului la liberă exprimare, funcţionarii publici au obligaţia de a nu aduce atingere demnităţii,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imaginii, precum şi vieţii intime, familiale şi private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oricărei persoane.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îndeplinirea atribuţiilor de serviciu, funcţionarii publici au obligaţia de a respecta demnitatea funcţiei publice</w:t>
      </w:r>
      <w:r w:rsidR="000B661D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deţinute, corelând libertatea dialogului cu promovarea intereselor autorităţii sau instituţiei publice în care îşi desfăşoară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activitatea.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activitatea lor, funcţionarii publici au obligaţia de a respecta libertatea opiniilor şi de a nu se lăsa influenţaţi de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considerente personale sau de popularitate. În exprimarea opiniilor, funcţionarii publici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aibă o atitudine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conciliantă şi să evite generarea conflictelor datorate schimbului de păreri.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433: Asigurarea unui serviciu public de calitate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au obligaţia de a asigura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serviciu public de calitate în beneficiul cetăţenilor prin participarea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activă la luarea deciziilor şi la transpunerea lor în practică, în scopul realizării competenţelor autorităţilor şi ale instituţiilor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publice.</w:t>
      </w:r>
    </w:p>
    <w:p w:rsidR="00843098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exercitarea funcţiei deţinute, funcţionarii publici au obligaţia de a avea un comportament profesionist, precum şi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de a asigura, în condiţiile legii, transparenţa administrativă pentru a câştiga şi a menţine încrederea publicului în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integritatea, imparţialitatea şi eficacitatea autorităţilor şi instituţiilor publice.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Art. 434: Loialitatea faţă de autorităţile şi instituţiile publice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obligaţia de a apăra în mod loial prestigiul autorităţii sau instituţiei publice în care îşi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desfăşoară activitatea, precum şi de a se abţine de la orice act ori fapt care poate produce prejudicii imaginii sau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intereselor legale ale acesteia.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interzis: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exprime în public aprecieri neconforme cu realitatea în legătură cu activitatea autorităţii sau instituţiei publice în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care îşi desfăşoară activitatea, cu politicile şi strategiile acesteia ori cu proiectele de acte cu caracter normativ sau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individual;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 facă aprecieri neautorizate în legătură cu litigiile aflate în curs de soluţionare şi în care autoritatea sau instituţia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publică în care îşi desfăşoară activitatea are calitatea de parte sau să furnizeze în mod neautorizat informaţii în legătură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cu aceste litigii;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dezvăluie şi să folosească informaţii care au caracter secret, în alte condiţii decât cele prevăzute de lege;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acorde asistenţă şi consultanţă persoanelor fizice sau juridice în vederea promovării de acţiuni juridice ori de altă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natură împotriva statului sau autorităţii ori instituţiei publice în care îşi desfăşoară activitatea.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Prevederile alin. (2)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aplică şi după încetarea raportului de serviciu, pentru o perioadă de 2 ani, dacă dispoziţiile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din legi speciale nu prevăd alte termene.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435: Obligaţia de </w:t>
      </w: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proofErr w:type="gramEnd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informa autoritatea sau instituţia publică cu privire la situaţia personală</w:t>
      </w:r>
      <w:r w:rsidR="001A0807"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generatoare de acte juridice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Funcţionarul public are îndatorirea de a informa autoritatea sau instituţia publică, în mod corect şi complet, în scris, cu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privire la situaţiile de fapt şi de drept care privesc persoana sa şi care sunt generatoare de acte administrative în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ondiţiile expres prevăzute de lege.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436: Interdicţii şi limitări în ceea </w:t>
      </w: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</w:t>
      </w:r>
      <w:proofErr w:type="gramEnd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priveşte implicarea în activitatea politică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pot fi membri ai partidelor politice legal constituite, cu respectarea interdicţiilor şi limitărilor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prevăzute la art.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242 alin.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art. 420.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obligaţia ca, în exercitarea atribuţiilor ce le revin, să se abţină de la exprimarea sau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manifestarea publică a convingerilor şi preferinţelor lor politice, să nu favorizeze vreun partid politic sau vreo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organizaţie căreia îi este aplicabil acelaşi regim juridic ca şi partidelor politice.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exercitarea funcţiei publice, 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interzis: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participe la colectarea de fonduri pentru activitatea partidelor politice, a organizaţiilor cărora le este aplicabil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acelaşi regim juridic ca şi partidelor politice, a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fundaţiilor sau asociaţiilor care funcţionează pe lângă partidele politice,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precum şi pentru activitatea candidaţilor independenţi;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furnizeze sprijin logistic candidaţilor la funcţii de demnitate publică;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afişeze, în cadrul autorităţilor sau instituţiilor publice, însemne ori obiecte inscripţionate cu sigla şi/sau denumirea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partidelor politice, ale organizaţiilor cărora le este aplicabil acelaşi regim juridic ca şi partidelor politice, ale fundaţiilor sau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asociaţiilor care funcţionează pe lângă partidele politice, ale candidaţilor acestora, precum şi ale candidaţilor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independenţi;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servească de actele pe care le îndeplinesc în exercitarea atribuţiilor de serviciu pentru a-şi exprima sau</w:t>
      </w:r>
      <w:r w:rsidR="001A0807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manifesta convingerile politice;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participe la reuniuni publice cu caracter politic pe durata timpului de lucru.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440: Interdicţia privind acceptarea darurilor sau </w:t>
      </w: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proofErr w:type="gramEnd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altor avantaje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 să solicite sau să accepte, direct sau indirect, pentru ei sau pentru alţii, în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considerarea funcţiei lor publice, daruri sau alte avantaje.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Sunt exceptate de la prevederile alin. (1)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bunurile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care funcţionarii publici le-au primit cu titlu gratuit în cadrul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unor activităţi de protocol în exercitarea mandatului sau a funcţiei publice deţinute, care se supun prevederilor legale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specifice.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441: Utilizarea responsabilă a resurselor publice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sunt obligaţi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asigure ocrotirea proprietăţii publice şi private a statului şi a unităţilor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administrativ-teritoriale, să evite producerea oricărui prejudiciu, acţionând în orice situaţie ca un bun proprietar.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au obligaţia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folosească timpul de lucru, precum şi bunurile aparţinând autorităţii sau instituţiei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publice numai pentru desfăşurarea activităţilor aferente funcţiei publice deţinute.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propună şi să asigure, potrivit atribuţiilor care le revin, folosirea utilă şi eficientă a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banilor publici, în conformitate cu prevederile legale.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Funcţionarilor publici care desfăşoară activităţi în interes personal, în condiţiile legii,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 să folosească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timpul de lucru ori logistica autorităţii sau a instituţiei publice pentru realizarea acestora.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443: Folosirea imaginii proprii</w:t>
      </w:r>
    </w:p>
    <w:p w:rsidR="00843098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 să permită utilizarea funcţiei publice în acţiuni publicitare pentru promovarea unei</w:t>
      </w:r>
      <w:r w:rsidR="005E5E8A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activităţi comerciale, precum şi în scopuri electorale.</w:t>
      </w:r>
    </w:p>
    <w:p w:rsidR="00DB725B" w:rsidRDefault="00DB725B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25B" w:rsidRPr="00447B05" w:rsidRDefault="00DB725B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Art. 444: Limitarea participării la achiziţii, concesionări sau închirieri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funcţionar public nu poate achiziţiona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bun aflat în proprietatea privată a statului sau a unităţilor 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administrative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teritoriale,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supus vânzării în condiţiile legii, în următoarele situaţii: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luat cunoştinţă, în cursul sau ca urmare a îndeplinirii atribuţiilor de serviciu, despre valoarea ori calitatea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bunurilor care urmează să fie vândute;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participat, în exercitarea atribuţiilor de serviciu, la organizarea vânzării bunului respectiv;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poate influenţa operaţiunile de vânzare sau când a obţinut informaţii la care persoanele interesate de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cumpărarea bunului nu au avut acces.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Dispoziţiile alin. (1)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aplică în mod corespunzător şi în cazul concesionării sau închirierii unui bun aflat în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proprietatea publică ori privată a statului sau a unităţilor administrativ-teritoriale.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Funcţionarilor publici le este interzisă furnizarea informaţiilor referitoare la bunurile proprietate publică sau privată a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statului ori a unităţilor administrativ-teritoriale, supuse operaţiunilor de vânzare, concesionare sau închiriere, în alte</w:t>
      </w:r>
      <w:r w:rsidR="009D7FE0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condiţii decât cele prevăzute de lege.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446: Activitatea publică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Comunicarea oficială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informaţiilor şi datelor privind activitatea autorităţii sau instituţiei publice, precum şi relaţiile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cu mijloacele de informare în masă se asigură de către funcţionarii publici desemnaţi în acest sens de conducătorul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autorităţii sau instituţiei publice, în condiţiile legii.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desemnaţi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participe la activităţi sau dezbateri publice, în calitate oficială, trebuie să respecte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limitele mandatului de reprezentare încredinţat de conducătorul autorităţii ori instituţiei publice în care îşi desfăşoară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activitatea.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cazul în care nu sunt desemnaţi în acest sens, funcţionarii publici pot participa la activităţi sau dezbateri publice,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având obligaţia de a face cunoscut faptul că opinia exprimată nu reprezintă punctul de vedere oficial al autorităţii ori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instituţiei publice în cadrul căreia îşi desfăşoară activitatea.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pot participa la elaborarea de publicaţii, pot elabora şi publica articole de specialitate şi lucrări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literare ori ştiinţifice, în condiţiile legii.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(5)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pot participa la emisiuni audiovizuale, cu excepţia celor cu caracter politic ori a celor care ar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putea afecta prestigiul funcţiei publice.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(6)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cazurile prevăzute la alin. (4)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(5), funcţionarii publici nu pot utiliza informaţii şi date la care au avut acces în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exercitarea funcţiei publice, dacă acestea nu au caracter public.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Prevederile alin.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aplică în mod corespunzător.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(7)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exercitarea dreptului la replică şi la rectificare, a dreptului la demnitate, a dreptului la imagine, precum şi a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dreptului la viaţă intimă, familială şi privată, funcţionarii publici îşi pot exprima public opinia personală în cazul în care prin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articole de presă sau în emisiuni audiovizuale s-au făcut afirmaţii defăimătoare la adresa lor sau a familiei lor.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Prevederile alin.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aplică în mod corespunzător.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(8)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îşi asumă responsabilitatea pentru apariţia publică şi pentru conţinutul informaţiilor prezentate,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în acord cu principiile şi normele de conduită prevăzute de prezentul cod.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(9)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Prevederile alin. (1)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-(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8) se aplică indiferent de modalitatea şi de mediul de comunicare.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447: Conduita în relaţiile cu cetăţenii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relaţiile cu persoanele fizice şi cu reprezentanţii persoanelor juridice care se adresează autorităţii sau instituţiei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publice, funcţionarii publici sunt obligaţi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aibă un comportament bazat pe respect, bună-credinţă, corectitudine,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integritate morală şi profesională.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obligaţia de a nu aduce atingere onoarei, reputaţiei, demnităţii, integrităţii fizice şi morale a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persoanelor cu care intră în legătură în exercitarea funcţiei publice, prin: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întrebuinţarea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unor expresii jignitoare;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acte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sau fapte care pot afecta integritatea fizică sau psihică a oricărei persoane.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adopte o atitudine imparţială şi justificată pentru rezolvarea legală, clară şi eficientă a</w:t>
      </w:r>
      <w:r w:rsidR="0070284C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problemelor cetăţenilor.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Pentru realizarea unor raporturi sociale şi profesionale care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asigure demnitatea persoanelor, eficienţa activităţii,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precum şi creşterea calităţii serviciului public, se recomandă respectarea normelor de conduită prevăzute la alin. (1)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-(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3) şi de către celelalte subiecte ale acestor raporturi.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(5)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trebuie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adopte o atitudine demnă şi civilizată faţă de orice persoană cu care intră în legătură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exercitarea funcţiei publice, fiind îndrituiţi, pe bază de reciprocitate, să solicite acesteia un comportament similar.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(6)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Funcţionarii publici au obligaţia de a asigura egalitatea de tratament a cetăţenilor în faţa autorităţilor şi instituţiilor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publice, principiu conform căruia funcţionarii publici au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îndatorirea de a preveni şi combate orice formă de discriminare în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îndeplinirea atribuţiilor profesionale.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Art. 448: Conduita în cadrul relaţiilor </w:t>
      </w:r>
      <w:proofErr w:type="gramStart"/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internaţionale</w:t>
      </w:r>
      <w:proofErr w:type="gramEnd"/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care reprezintă autoritatea sau instituţia publică în cadrul unor organizaţii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internaţionale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, instituţii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de învăţământ, conferinţe, seminare şi alte activităţi cu caracter internaţional au obligaţia să promoveze o imagine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favorabilă ţării şi autorităţii sau instituţiei publice pe care o reprezintă.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relaţiile cu reprezentanţii altor state, 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 să exprime opinii personale privind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aspecte naţionale sau dispute internaţionale.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deplasările externe, funcţionarii publici sunt obligaţi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aibă o conduită corespunzătoare regulilor de protocol şi le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 interzisă încălcarea legilor şi obiceiurilor ţării gazdă.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Art. 449: Obiectivitate şi responsabilitate în luarea deciziilor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(1)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procesul de luare a deciziilor, funcţionarii publici au obligaţia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acţioneze conform prevederilor legale şi să îşi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exercite capacitatea de apreciere în mod fundamentat şi imparţial.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(2)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Funcţionarilor publici le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interzis să promită luarea unei decizii de către autoritatea sau instituţia publică, de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către alţi funcţionari publici, precum şi îndeplinirea atribuţiilor în mod privilegiat.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(3)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Funcţionarii publici de conducere sunt obligaţi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sprijine propunerile şi iniţiativele motivate ale personalului din</w:t>
      </w:r>
      <w:r w:rsidR="00442621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subordine, în vederea îmbunătăţirii activităţii autorităţii sau instituţiei publice în care îşi desfăşoară activitatea, precum şi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a calităţii serviciilor publice oferite cetăţenilor.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(4)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 exercitarea atribuţiilor de coordonare, precum şi a atribuţiilor specifice funcţiilor publice de conducere, funcţionarii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publici au obligaţia de a asigura organizarea activităţii personalului, de a manifesta iniţiativă şi responsabilitate şi de a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susţine propunerile personalului din subordine.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(5)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Înalţii funcţionari publici şi funcţionarii publici de conducere au obligaţia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asigure egalitatea de şanse şi tratament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cu privire la dezvoltarea carierei personalului din subordine, în condiţiile legislaţiei specifice aplicabile fiecărei categorii de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personal. În acest sens, aceştia au obligaţia: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repartizeze sarcinile în mod echilibrat, corespunzător nivelului de competenţă aferent funcţiei publice ocupate şi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carierei individuale a fiecărei persoane din subordine;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b)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asigure coordonarea modului de îndeplinire a sarcinilor, cu valorificarea corespunzătoare a competenţelor fiecărei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persoane din subordine;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 monitorizeze performanţa profesională individuală şi colectivă a personalului din subordine, să semnaleze în mod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individual performanţele necorespunzătoare şi să implementeze măsuri destinate ameliorării performanţei individuale şi,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după caz, colective, atunci când este necesar;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examineze şi să aplice cu obiectivitate criteriile de evaluare a competenţei profesionale pentru personalul din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subordine, atunci când propun acordarea de stimulente materiale sau morale;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evalueze în mod obiectiv necesarul de instruire profesională al fiecărui subordonat şi să propună participarea la</w:t>
      </w:r>
      <w:r w:rsidR="00CA4509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programe de formare şi perfecţionare profesională pentru fiecare persoană din subordine;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delege sarcini şi responsabilităţi, în condiţiile legii, persoanelor din subordine care deţin cunoştinţele, competenţele</w:t>
      </w:r>
      <w:r w:rsidR="003B68BF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şi îndeplinesc condiţiile legale necesare exercitării funcţiei respective;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g)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excludă orice formă de discriminare şi de hărţuire, de orice natură şi în orice situaţie, cu privire la personalul din</w:t>
      </w:r>
      <w:r w:rsidR="003B68BF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subordine.</w:t>
      </w:r>
    </w:p>
    <w:p w:rsidR="00843098" w:rsidRPr="00447B05" w:rsidRDefault="00843098" w:rsidP="005B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(6)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scopul asigurării condiţiilor necesare îndeplinirii cu imparţialitate a îndatoririlor </w:t>
      </w:r>
      <w:proofErr w:type="gramStart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gramEnd"/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decurg din raporturile ierarhice,</w:t>
      </w:r>
      <w:r w:rsidR="003B68BF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înalţii funcţionari publici şi funcţionarii publici de conducere au obligaţia de a nu se angaja în relaţii patrimoniale cu</w:t>
      </w:r>
      <w:r w:rsidR="003B68BF"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B05">
        <w:rPr>
          <w:rFonts w:ascii="Times New Roman" w:hAnsi="Times New Roman" w:cs="Times New Roman"/>
          <w:color w:val="000000" w:themeColor="text1"/>
          <w:sz w:val="28"/>
          <w:szCs w:val="28"/>
        </w:rPr>
        <w:t>personalul din subordine.</w:t>
      </w:r>
    </w:p>
    <w:sectPr w:rsidR="00843098" w:rsidRPr="00447B05" w:rsidSect="008E0A2A">
      <w:headerReference w:type="default" r:id="rId7"/>
      <w:footerReference w:type="default" r:id="rId8"/>
      <w:pgSz w:w="12240" w:h="15840"/>
      <w:pgMar w:top="1440" w:right="1080" w:bottom="144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D7" w:rsidRDefault="002A26D7" w:rsidP="008B6A2F">
      <w:pPr>
        <w:spacing w:after="0" w:line="240" w:lineRule="auto"/>
      </w:pPr>
      <w:r>
        <w:separator/>
      </w:r>
    </w:p>
  </w:endnote>
  <w:endnote w:type="continuationSeparator" w:id="0">
    <w:p w:rsidR="002A26D7" w:rsidRDefault="002A26D7" w:rsidP="008B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637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172" w:rsidRPr="00675172" w:rsidRDefault="00675172" w:rsidP="00675172">
        <w:pPr>
          <w:pStyle w:val="Header"/>
          <w:tabs>
            <w:tab w:val="clear" w:pos="4680"/>
          </w:tabs>
          <w:jc w:val="center"/>
          <w:rPr>
            <w:rFonts w:ascii="Garamond" w:eastAsia="Calibri" w:hAnsi="Garamond" w:cs="Times New Roman"/>
            <w:b/>
            <w:color w:val="00214E"/>
            <w:sz w:val="24"/>
            <w:szCs w:val="24"/>
            <w:lang w:val="ro-RO"/>
          </w:rPr>
        </w:pPr>
        <w:r>
          <w:rPr>
            <w:rFonts w:ascii="Garamond" w:eastAsia="Calibri" w:hAnsi="Garamond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AC27F19" wp14:editId="5292B14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-5715</wp:posOffset>
                  </wp:positionV>
                  <wp:extent cx="6248400" cy="635"/>
                  <wp:effectExtent l="9525" t="17780" r="9525" b="10160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-.75pt;margin-top:-.4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" strokecolor="#00214e" strokeweight="1.5pt"/>
              </w:pict>
            </mc:Fallback>
          </mc:AlternateContent>
        </w:r>
        <w:r w:rsidRPr="00675172">
          <w:rPr>
            <w:rFonts w:ascii="Garamond" w:eastAsia="Calibri" w:hAnsi="Garamond" w:cs="Times New Roman"/>
            <w:b/>
            <w:color w:val="00214E"/>
            <w:sz w:val="24"/>
            <w:szCs w:val="24"/>
          </w:rPr>
          <w:t>AGEN</w:t>
        </w:r>
        <w:r w:rsidRPr="00675172">
          <w:rPr>
            <w:rFonts w:ascii="Garamond" w:eastAsia="Calibri" w:hAnsi="Garamond" w:cs="Times New Roman"/>
            <w:b/>
            <w:color w:val="00214E"/>
            <w:sz w:val="24"/>
            <w:szCs w:val="24"/>
            <w:lang w:val="ro-RO"/>
          </w:rPr>
          <w:t>ŢIA PENTRU PROTECŢIA MEDIULUI DÂMBOVIŢA</w:t>
        </w:r>
      </w:p>
      <w:p w:rsidR="00675172" w:rsidRPr="00675172" w:rsidRDefault="002A26D7" w:rsidP="00675172">
        <w:pPr>
          <w:tabs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</w:pPr>
        <w:r>
          <w:rPr>
            <w:rFonts w:ascii="Garamond" w:eastAsia="Calibri" w:hAnsi="Garamond" w:cs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19.75pt;margin-top:-16.25pt;width:41.9pt;height:34.45pt;z-index:-251653120">
              <v:imagedata r:id="rId1" o:title=""/>
            </v:shape>
            <o:OLEObject Type="Embed" ProgID="CorelDRAW.Graphic.13" ShapeID="_x0000_s2052" DrawAspect="Content" ObjectID="_1729063911" r:id="rId2"/>
          </w:pict>
        </w:r>
        <w:r w:rsidR="00675172" w:rsidRPr="0067517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>Calea Ialomiţei, nr.1, Târgovişte, Cod 130142</w:t>
        </w:r>
      </w:p>
      <w:p w:rsidR="00675172" w:rsidRPr="00675172" w:rsidRDefault="00675172" w:rsidP="00675172">
        <w:pPr>
          <w:tabs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</w:pPr>
        <w:r w:rsidRPr="0067517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675172">
            <w:rPr>
              <w:rFonts w:ascii="Garamond" w:eastAsia="Calibri" w:hAnsi="Garamond" w:cs="Times New Roman"/>
              <w:color w:val="0000FF"/>
              <w:sz w:val="24"/>
              <w:szCs w:val="24"/>
              <w:u w:val="single"/>
              <w:lang w:val="ro-RO"/>
            </w:rPr>
            <w:t>office@apmdb.anpm.ro</w:t>
          </w:r>
        </w:hyperlink>
        <w:r w:rsidRPr="00675172">
          <w:rPr>
            <w:rFonts w:ascii="Garamond" w:eastAsia="Calibri" w:hAnsi="Garamond" w:cs="Times New Roman"/>
            <w:color w:val="00214E"/>
            <w:sz w:val="24"/>
            <w:szCs w:val="24"/>
            <w:lang w:val="ro-RO"/>
          </w:rPr>
          <w:t>; Tel.: 0245213959; Fax: 0245213944</w:t>
        </w:r>
      </w:p>
      <w:tbl>
        <w:tblPr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370"/>
        </w:tblGrid>
        <w:tr w:rsidR="00675172" w:rsidRPr="00675172" w:rsidTr="004A2847">
          <w:tc>
            <w:tcPr>
              <w:tcW w:w="8370" w:type="dxa"/>
              <w:tcBorders>
                <w:bottom w:val="single" w:sz="4" w:space="0" w:color="auto"/>
              </w:tcBorders>
              <w:shd w:val="clear" w:color="auto" w:fill="auto"/>
            </w:tcPr>
            <w:p w:rsidR="00675172" w:rsidRPr="00675172" w:rsidRDefault="00675172" w:rsidP="00675172">
              <w:pPr>
                <w:tabs>
                  <w:tab w:val="right" w:pos="9360"/>
                </w:tabs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sz w:val="24"/>
                  <w:szCs w:val="24"/>
                  <w:lang w:val="ro-RO"/>
                </w:rPr>
              </w:pPr>
              <w:r w:rsidRPr="00675172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  <w:tr w:rsidR="00675172" w:rsidRPr="00675172" w:rsidTr="004A2847">
          <w:tc>
            <w:tcPr>
              <w:tcW w:w="8370" w:type="dxa"/>
              <w:tcBorders>
                <w:left w:val="nil"/>
                <w:bottom w:val="nil"/>
                <w:right w:val="nil"/>
              </w:tcBorders>
              <w:shd w:val="clear" w:color="auto" w:fill="auto"/>
            </w:tcPr>
            <w:p w:rsidR="00675172" w:rsidRPr="00675172" w:rsidRDefault="00675172" w:rsidP="00675172">
              <w:pPr>
                <w:tabs>
                  <w:tab w:val="right" w:pos="9360"/>
                </w:tabs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ro-RO"/>
                </w:rPr>
              </w:pPr>
            </w:p>
          </w:tc>
        </w:tr>
      </w:tbl>
      <w:p w:rsidR="008E0A2A" w:rsidRDefault="008E0A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D7" w:rsidRDefault="002A26D7" w:rsidP="008B6A2F">
      <w:pPr>
        <w:spacing w:after="0" w:line="240" w:lineRule="auto"/>
      </w:pPr>
      <w:r>
        <w:separator/>
      </w:r>
    </w:p>
  </w:footnote>
  <w:footnote w:type="continuationSeparator" w:id="0">
    <w:p w:rsidR="002A26D7" w:rsidRDefault="002A26D7" w:rsidP="008B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05" w:rsidRDefault="002A26D7" w:rsidP="00447B05">
    <w:pPr>
      <w:tabs>
        <w:tab w:val="right" w:pos="9360"/>
      </w:tabs>
      <w:spacing w:after="0" w:line="240" w:lineRule="auto"/>
      <w:rPr>
        <w:rFonts w:ascii="Calibri" w:eastAsia="Calibri" w:hAnsi="Calibri" w:cs="Times New Roman"/>
        <w:lang w:val="it-IT"/>
      </w:rPr>
    </w:pPr>
    <w:r>
      <w:rPr>
        <w:rFonts w:ascii="Times New Roman" w:eastAsia="Calibri" w:hAnsi="Times New Roman" w:cs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9.7pt;margin-top:10.2pt;width:81.4pt;height:65.45pt;z-index:-251655168">
          <v:imagedata r:id="rId1" o:title=""/>
        </v:shape>
        <o:OLEObject Type="Embed" ProgID="CorelDRAW.Graphic.13" ShapeID="_x0000_s2051" DrawAspect="Content" ObjectID="_1729063910" r:id="rId2"/>
      </w:pict>
    </w:r>
    <w:r w:rsidR="00447B05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54C24503" wp14:editId="3BDE57B6">
          <wp:simplePos x="0" y="0"/>
          <wp:positionH relativeFrom="column">
            <wp:posOffset>132080</wp:posOffset>
          </wp:positionH>
          <wp:positionV relativeFrom="paragraph">
            <wp:posOffset>73660</wp:posOffset>
          </wp:positionV>
          <wp:extent cx="866775" cy="857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B05" w:rsidRPr="00447B05" w:rsidRDefault="00447B05" w:rsidP="00447B05">
    <w:pPr>
      <w:tabs>
        <w:tab w:val="right" w:pos="9360"/>
      </w:tabs>
      <w:spacing w:after="0" w:line="240" w:lineRule="auto"/>
      <w:rPr>
        <w:rFonts w:ascii="Calibri" w:eastAsia="Calibri" w:hAnsi="Calibri" w:cs="Times New Roman"/>
        <w:lang w:val="it-IT"/>
      </w:rPr>
    </w:pPr>
  </w:p>
  <w:p w:rsidR="00447B05" w:rsidRPr="00447B05" w:rsidRDefault="00447B05" w:rsidP="00447B05">
    <w:pPr>
      <w:tabs>
        <w:tab w:val="left" w:pos="9000"/>
      </w:tabs>
      <w:spacing w:after="0" w:line="240" w:lineRule="auto"/>
      <w:rPr>
        <w:rFonts w:ascii="Calibri" w:eastAsia="Calibri" w:hAnsi="Calibri" w:cs="Times New Roman"/>
        <w:lang w:val="it-IT"/>
      </w:rPr>
    </w:pPr>
    <w:r w:rsidRPr="00447B05">
      <w:rPr>
        <w:rFonts w:ascii="Calibri" w:eastAsia="Calibri" w:hAnsi="Calibri" w:cs="Times New Roman"/>
        <w:lang w:val="it-IT"/>
      </w:rPr>
      <w:t xml:space="preserve">                    </w:t>
    </w:r>
  </w:p>
  <w:p w:rsidR="00447B05" w:rsidRPr="00447B05" w:rsidRDefault="00447B05" w:rsidP="00447B05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lang w:val="it-IT"/>
      </w:rPr>
    </w:pPr>
    <w:r w:rsidRPr="00447B05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Mediului, Apelor și Pădurilor</w:t>
    </w:r>
  </w:p>
  <w:p w:rsidR="00447B05" w:rsidRPr="00447B05" w:rsidRDefault="00447B05" w:rsidP="00447B05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  <w:lang w:val="it-IT"/>
      </w:rPr>
    </w:pPr>
    <w:r w:rsidRPr="00447B05">
      <w:rPr>
        <w:rFonts w:ascii="Times New Roman" w:eastAsia="Calibri" w:hAnsi="Times New Roman" w:cs="Times New Roman"/>
        <w:b/>
        <w:sz w:val="32"/>
        <w:szCs w:val="32"/>
        <w:lang w:val="it-IT"/>
      </w:rPr>
      <w:t>Agen</w:t>
    </w:r>
    <w:r w:rsidRPr="00447B05">
      <w:rPr>
        <w:rFonts w:ascii="Times New Roman" w:eastAsia="Calibri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447B05" w:rsidRPr="00447B05" w:rsidTr="004A2847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47B05" w:rsidRPr="00447B05" w:rsidRDefault="00447B05" w:rsidP="00447B05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color w:val="FFFFFF"/>
              <w:sz w:val="24"/>
              <w:szCs w:val="24"/>
              <w:lang w:val="fr-FR"/>
            </w:rPr>
          </w:pPr>
          <w:r w:rsidRPr="00447B05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fr-FR"/>
            </w:rPr>
            <w:t>AGENŢIA PENTRU PROTECŢIA MEDIULUI DÂMBOVIȚA</w:t>
          </w:r>
        </w:p>
      </w:tc>
    </w:tr>
  </w:tbl>
  <w:p w:rsidR="00447B05" w:rsidRDefault="00447B05" w:rsidP="00447B05">
    <w:pPr>
      <w:tabs>
        <w:tab w:val="right" w:pos="9360"/>
      </w:tabs>
      <w:spacing w:after="0" w:line="240" w:lineRule="auto"/>
      <w:jc w:val="center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D7AFDE" wp14:editId="7C82ADD0">
              <wp:simplePos x="0" y="0"/>
              <wp:positionH relativeFrom="column">
                <wp:posOffset>4445</wp:posOffset>
              </wp:positionH>
              <wp:positionV relativeFrom="paragraph">
                <wp:posOffset>635</wp:posOffset>
              </wp:positionV>
              <wp:extent cx="1033780" cy="831215"/>
              <wp:effectExtent l="4445" t="635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3378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35pt;margin-top:.05pt;width:81.4pt;height:6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" filled="f" stroked="f"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98"/>
    <w:rsid w:val="00084D4F"/>
    <w:rsid w:val="000B661D"/>
    <w:rsid w:val="000F4EDB"/>
    <w:rsid w:val="001A0807"/>
    <w:rsid w:val="00283249"/>
    <w:rsid w:val="002A26D7"/>
    <w:rsid w:val="003B68BF"/>
    <w:rsid w:val="00442621"/>
    <w:rsid w:val="00447B05"/>
    <w:rsid w:val="0052145F"/>
    <w:rsid w:val="00555409"/>
    <w:rsid w:val="005B034E"/>
    <w:rsid w:val="005E5E8A"/>
    <w:rsid w:val="00675172"/>
    <w:rsid w:val="0070284C"/>
    <w:rsid w:val="00843098"/>
    <w:rsid w:val="008B6A2F"/>
    <w:rsid w:val="008E0A2A"/>
    <w:rsid w:val="009D7FE0"/>
    <w:rsid w:val="00B22C16"/>
    <w:rsid w:val="00BB6EE9"/>
    <w:rsid w:val="00CA4509"/>
    <w:rsid w:val="00CB7A91"/>
    <w:rsid w:val="00D72085"/>
    <w:rsid w:val="00DB6C48"/>
    <w:rsid w:val="00DB725B"/>
    <w:rsid w:val="00DE3298"/>
    <w:rsid w:val="00E12581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2F"/>
  </w:style>
  <w:style w:type="paragraph" w:styleId="Footer">
    <w:name w:val="footer"/>
    <w:basedOn w:val="Normal"/>
    <w:link w:val="FooterChar"/>
    <w:uiPriority w:val="99"/>
    <w:unhideWhenUsed/>
    <w:rsid w:val="008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2F"/>
  </w:style>
  <w:style w:type="paragraph" w:styleId="BalloonText">
    <w:name w:val="Balloon Text"/>
    <w:basedOn w:val="Normal"/>
    <w:link w:val="BalloonTextChar"/>
    <w:uiPriority w:val="99"/>
    <w:semiHidden/>
    <w:unhideWhenUsed/>
    <w:rsid w:val="0044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2F"/>
  </w:style>
  <w:style w:type="paragraph" w:styleId="Footer">
    <w:name w:val="footer"/>
    <w:basedOn w:val="Normal"/>
    <w:link w:val="FooterChar"/>
    <w:uiPriority w:val="99"/>
    <w:unhideWhenUsed/>
    <w:rsid w:val="008B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2F"/>
  </w:style>
  <w:style w:type="paragraph" w:styleId="BalloonText">
    <w:name w:val="Balloon Text"/>
    <w:basedOn w:val="Normal"/>
    <w:link w:val="BalloonTextChar"/>
    <w:uiPriority w:val="99"/>
    <w:semiHidden/>
    <w:unhideWhenUsed/>
    <w:rsid w:val="0044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d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Vladescu</dc:creator>
  <cp:lastModifiedBy>Nicoleta Vladescu</cp:lastModifiedBy>
  <cp:revision>11</cp:revision>
  <dcterms:created xsi:type="dcterms:W3CDTF">2022-10-27T10:31:00Z</dcterms:created>
  <dcterms:modified xsi:type="dcterms:W3CDTF">2022-11-04T08:45:00Z</dcterms:modified>
</cp:coreProperties>
</file>