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0D" w:rsidRPr="00F368FB" w:rsidRDefault="00F0310D" w:rsidP="00F0310D">
      <w:pPr>
        <w:pStyle w:val="Header"/>
        <w:jc w:val="center"/>
        <w:rPr>
          <w:rFonts w:ascii="Times New Roman" w:hAnsi="Times New Roman" w:cs="Times New Roman"/>
          <w:b/>
          <w:color w:val="00214E"/>
          <w:sz w:val="32"/>
          <w:szCs w:val="32"/>
        </w:rPr>
      </w:pPr>
      <w:r w:rsidRPr="00F368FB">
        <w:rPr>
          <w:rFonts w:ascii="Times New Roman" w:hAnsi="Times New Roman" w:cs="Times New Roman"/>
          <w:b/>
          <w:color w:val="00214E"/>
          <w:sz w:val="32"/>
          <w:szCs w:val="32"/>
        </w:rPr>
        <w:t>Ministerul Mediului</w:t>
      </w:r>
    </w:p>
    <w:p w:rsidR="00F0310D" w:rsidRPr="00F368FB" w:rsidRDefault="00D343E3" w:rsidP="00F0310D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9" o:title=""/>
          </v:shape>
          <o:OLEObject Type="Embed" ProgID="CorelDRAW.Graphic.13" ShapeID="_x0000_s1027" DrawAspect="Content" ObjectID="_1567321090" r:id="rId10"/>
        </w:pict>
      </w:r>
      <w:r w:rsidR="00F0310D" w:rsidRPr="00F368FB">
        <w:rPr>
          <w:rFonts w:ascii="Times New Roman" w:hAnsi="Times New Roman" w:cs="Times New Roman"/>
          <w:b/>
          <w:noProof/>
          <w:color w:val="00214E"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094D1F1A" wp14:editId="6EAECB36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0D" w:rsidRPr="00F368FB">
        <w:rPr>
          <w:rFonts w:ascii="Times New Roman" w:hAnsi="Times New Roman" w:cs="Times New Roman"/>
          <w:b/>
          <w:color w:val="00214E"/>
          <w:sz w:val="32"/>
          <w:szCs w:val="32"/>
        </w:rPr>
        <w:t>Agenţia Naţională pentru Protecţia Mediului</w:t>
      </w:r>
    </w:p>
    <w:p w:rsidR="00F0310D" w:rsidRPr="00932190" w:rsidRDefault="00F0310D" w:rsidP="00F0310D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F0310D" w:rsidRPr="00F368FB" w:rsidTr="00D30D6C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F0310D" w:rsidRPr="00F368FB" w:rsidRDefault="00F0310D" w:rsidP="00D30D6C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</w:pPr>
            <w:r w:rsidRPr="00F368FB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DC6F82" w:rsidRPr="00F368FB" w:rsidRDefault="00DC6F82" w:rsidP="00F0310D">
      <w:pPr>
        <w:spacing w:after="0"/>
        <w:rPr>
          <w:rFonts w:ascii="Times New Roman" w:hAnsi="Times New Roman" w:cs="Times New Roman"/>
        </w:rPr>
      </w:pPr>
    </w:p>
    <w:p w:rsidR="00051258" w:rsidRPr="00644E89" w:rsidRDefault="00051258" w:rsidP="00B207B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60711C">
        <w:rPr>
          <w:rFonts w:ascii="Times New Roman" w:hAnsi="Times New Roman" w:cs="Times New Roman"/>
          <w:sz w:val="24"/>
          <w:szCs w:val="24"/>
          <w:lang w:val="fr-FR"/>
        </w:rPr>
        <w:t>10971/6022/19</w:t>
      </w:r>
      <w:r w:rsidR="008369AC">
        <w:rPr>
          <w:rFonts w:ascii="Times New Roman" w:hAnsi="Times New Roman" w:cs="Times New Roman"/>
          <w:sz w:val="24"/>
          <w:szCs w:val="24"/>
          <w:lang w:val="fr-FR"/>
        </w:rPr>
        <w:t>.09</w:t>
      </w:r>
      <w:r w:rsidR="00F0310D">
        <w:rPr>
          <w:rFonts w:ascii="Times New Roman" w:hAnsi="Times New Roman" w:cs="Times New Roman"/>
          <w:sz w:val="24"/>
          <w:szCs w:val="24"/>
          <w:lang w:val="fr-FR"/>
        </w:rPr>
        <w:t>.2017</w:t>
      </w:r>
    </w:p>
    <w:p w:rsidR="00D7402F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644E89" w:rsidRDefault="00D343E3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hyperlink r:id="rId12" w:anchor="#" w:history="1"/>
      <w:r w:rsidR="00051258"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 ETAPEI DE ÎNCADRARE</w:t>
      </w:r>
    </w:p>
    <w:p w:rsidR="00051258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Nr.</w:t>
      </w:r>
      <w:r w:rsidR="00FF12FC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297</w:t>
      </w:r>
      <w:bookmarkStart w:id="0" w:name="_GoBack"/>
      <w:bookmarkEnd w:id="0"/>
      <w:r w:rsidR="00716D52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din </w:t>
      </w:r>
      <w:r w:rsidR="0060711C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19</w:t>
      </w:r>
      <w:r w:rsidR="008369AC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.09</w:t>
      </w:r>
      <w:r w:rsidR="00F0310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.2017</w:t>
      </w:r>
    </w:p>
    <w:p w:rsidR="006959BE" w:rsidRPr="00644E89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644E89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5042" w:rsidRPr="00333566" w:rsidRDefault="00360E57" w:rsidP="003E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Ca urmare a solicitării de emitere a acordului de mediu adresate de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B7416" w:rsidRPr="002B741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 ȘOTÂNGA</w:t>
      </w:r>
      <w:r w:rsidR="00F0310D" w:rsidRP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D235E9" w:rsidRP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u sediul în</w:t>
      </w:r>
      <w:r w:rsidR="002B7416" w:rsidRP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B7416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comuna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Șotânga, sat Șotânga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>str. Constantin Brâncoveanu, nr.373,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județul Dâmbovița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60711C">
        <w:rPr>
          <w:rFonts w:ascii="Times New Roman" w:eastAsia="Times New Roman" w:hAnsi="Times New Roman" w:cs="Times New Roman"/>
          <w:sz w:val="24"/>
          <w:szCs w:val="24"/>
          <w:lang w:eastAsia="ro-RO"/>
        </w:rPr>
        <w:t>10971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="0060711C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="008369AC">
        <w:rPr>
          <w:rFonts w:ascii="Times New Roman" w:eastAsia="Times New Roman" w:hAnsi="Times New Roman" w:cs="Times New Roman"/>
          <w:sz w:val="24"/>
          <w:szCs w:val="24"/>
          <w:lang w:eastAsia="ro-RO"/>
        </w:rPr>
        <w:t>.0</w:t>
      </w:r>
      <w:r w:rsidR="0060711C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="00716D52">
        <w:rPr>
          <w:rFonts w:ascii="Times New Roman" w:eastAsia="Times New Roman" w:hAnsi="Times New Roman" w:cs="Times New Roman"/>
          <w:sz w:val="24"/>
          <w:szCs w:val="24"/>
          <w:lang w:eastAsia="ro-RO"/>
        </w:rPr>
        <w:t>.2017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445/2009 privind evaluarea impactului anumitor proiecte publice si private asupra mediului si a Ordonanței de Urgenta a Guvernului nr. 57/2007 privind regimul ariilor naturale protejate, conservarea habitatelor naturale, a florei si faunei sălbatice, cu modificările si completările ulterioare, </w:t>
      </w:r>
    </w:p>
    <w:p w:rsidR="00333566" w:rsidRPr="00333566" w:rsidRDefault="00333566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60711C">
        <w:rPr>
          <w:rFonts w:ascii="Times New Roman" w:eastAsia="Times New Roman" w:hAnsi="Times New Roman" w:cs="Times New Roman"/>
          <w:sz w:val="24"/>
          <w:szCs w:val="24"/>
          <w:lang w:eastAsia="ro-RO"/>
        </w:rPr>
        <w:t>07.09</w:t>
      </w:r>
      <w:r w:rsid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>.2017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F0310D" w:rsidRPr="00B36F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Realizare poduri, podețe și pasaj subteran în comuna Șotânga, județul Dâmbovița</w:t>
      </w:r>
      <w:r w:rsidR="00F0310D" w:rsidRPr="00B36FE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F0310D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comuna</w:t>
      </w:r>
      <w:r w:rsidR="006071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Șotânga</w:t>
      </w:r>
      <w:r w:rsidR="00716D52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sat Șotânga</w:t>
      </w:r>
      <w:r w:rsidR="00716D5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str.Vâlcelei, str.Malului, </w:t>
      </w:r>
      <w:r w:rsidR="00F0310D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județul Dâmbovița</w:t>
      </w:r>
      <w:r w:rsidR="00F0310D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F031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333566" w:rsidRDefault="00360E57" w:rsidP="000D5042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 se încadrează in prevederile Hotărârii Guvernului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445/2009, </w:t>
      </w:r>
      <w:r w:rsid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anexa nr.</w:t>
      </w:r>
      <w:r w:rsidRP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2, pct. </w:t>
      </w:r>
      <w:r w:rsidR="0060711C" w:rsidRP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10</w:t>
      </w:r>
      <w:r w:rsidRP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lit. </w:t>
      </w:r>
      <w:r w:rsid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644E89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644E89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644E89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</w:t>
      </w:r>
      <w:r w:rsidR="004F67C2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ziei privind etapa de încadrare.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en-US"/>
        </w:rPr>
      </w:pPr>
    </w:p>
    <w:p w:rsidR="00360E57" w:rsidRPr="00076EF3" w:rsidRDefault="00360E57" w:rsidP="002D73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Caracteristicile proiectelor </w:t>
      </w:r>
    </w:p>
    <w:p w:rsidR="007B79EA" w:rsidRPr="002D73FD" w:rsidRDefault="00360E57" w:rsidP="002D73F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37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214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73FD" w:rsidRDefault="00F0310D" w:rsidP="002D73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031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D73FD">
        <w:rPr>
          <w:rStyle w:val="Heading2Char"/>
          <w:rFonts w:eastAsiaTheme="minorHAnsi"/>
          <w:i/>
          <w:color w:val="000000"/>
        </w:rPr>
        <w:t>Descrierea lucrarilor</w:t>
      </w:r>
    </w:p>
    <w:p w:rsidR="002D73FD" w:rsidRPr="002D73FD" w:rsidRDefault="002D73FD" w:rsidP="002D73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76EF3">
        <w:rPr>
          <w:rFonts w:ascii="Arial" w:hAnsi="Arial" w:cs="Arial"/>
          <w:b/>
          <w:color w:val="000000"/>
          <w:sz w:val="20"/>
          <w:szCs w:val="20"/>
          <w:lang w:eastAsia="ar-SA"/>
        </w:rPr>
        <w:t>POD PESTE VALCEAUA</w:t>
      </w:r>
      <w:r w:rsidRPr="007D073C">
        <w:rPr>
          <w:rFonts w:ascii="Arial" w:hAnsi="Arial" w:cs="Arial"/>
          <w:color w:val="000000"/>
          <w:lang w:eastAsia="ar-SA"/>
        </w:rPr>
        <w:t>:</w:t>
      </w:r>
    </w:p>
    <w:p w:rsidR="002D73FD" w:rsidRPr="002D73FD" w:rsidRDefault="002D73FD" w:rsidP="002D73FD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Dupa pregatirea terenului se executa pod pe grinzi prefabricate  deschidere 12.00 m,  cu calea direct pe structura suprabetonata -alegerea grinzilor simplu rezemate s-a facut pe baza  calculul</w:t>
      </w:r>
      <w:r w:rsidRPr="002D73FD">
        <w:rPr>
          <w:rFonts w:ascii="Times New Roman" w:hAnsi="Times New Roman" w:cs="Times New Roman"/>
          <w:sz w:val="24"/>
          <w:szCs w:val="24"/>
          <w:lang w:eastAsia="ar-SA"/>
        </w:rPr>
        <w:t>ui</w:t>
      </w:r>
      <w:r w:rsidRPr="002D73FD">
        <w:rPr>
          <w:rFonts w:ascii="Times New Roman" w:hAnsi="Times New Roman" w:cs="Times New Roman"/>
          <w:sz w:val="24"/>
          <w:szCs w:val="24"/>
          <w:lang w:eastAsia="ar-SA"/>
        </w:rPr>
        <w:t xml:space="preserve"> structurilor de poduri si podete de sosea cu suprastructuri monolit si prefabricate</w:t>
      </w:r>
      <w:r w:rsidRPr="002D73FD">
        <w:rPr>
          <w:rFonts w:ascii="Arial" w:hAnsi="Arial" w:cs="Arial"/>
          <w:szCs w:val="20"/>
          <w:lang w:eastAsia="ar-SA"/>
        </w:rPr>
        <w:t xml:space="preserve"> </w:t>
      </w:r>
    </w:p>
    <w:p w:rsidR="00076EF3" w:rsidRPr="002D73FD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Caracteristici:</w:t>
      </w:r>
    </w:p>
    <w:p w:rsidR="002D73FD" w:rsidRPr="002D73FD" w:rsidRDefault="002D73FD" w:rsidP="002D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Lungimea podului 19.00 m</w:t>
      </w:r>
    </w:p>
    <w:p w:rsidR="002D73FD" w:rsidRPr="002D73FD" w:rsidRDefault="002D73FD" w:rsidP="002D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Inaltimea podului He-3.05m (rost elevatie fundatie- bancheta cuzinet culee)</w:t>
      </w:r>
    </w:p>
    <w:p w:rsidR="002D73FD" w:rsidRPr="002D73FD" w:rsidRDefault="002D73FD" w:rsidP="002D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Latime cale 7.10m carosabila, latime totala suprastructura cu console 7.50m, fara trotuare, pod rutier.</w:t>
      </w:r>
    </w:p>
    <w:p w:rsidR="00076EF3" w:rsidRDefault="002D73FD" w:rsidP="00076EF3">
      <w:pPr>
        <w:widowControl w:val="0"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76EF3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POD PESTE VULC</w:t>
      </w:r>
      <w:r w:rsidRPr="00076EF3">
        <w:rPr>
          <w:rFonts w:ascii="Arial" w:hAnsi="Arial" w:cs="Arial"/>
          <w:b/>
          <w:color w:val="000000"/>
          <w:sz w:val="20"/>
          <w:szCs w:val="20"/>
          <w:lang w:eastAsia="ar-SA"/>
        </w:rPr>
        <w:t>ANA AMONTE DJ712 SI AVAL DJ712:</w:t>
      </w:r>
    </w:p>
    <w:p w:rsidR="002D73FD" w:rsidRPr="00076EF3" w:rsidRDefault="002D73FD" w:rsidP="00076EF3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Dupa pregatirea terenului se executa pod pe grinzi prefabricate  deschidere 18.00m X 2 = 36m,  cu calea direct pe structura suprabetonata</w:t>
      </w:r>
      <w:r w:rsidR="00076EF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2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D73FD" w:rsidRPr="002D73FD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2D73FD" w:rsidRPr="002D73FD">
        <w:rPr>
          <w:rFonts w:ascii="Times New Roman" w:hAnsi="Times New Roman" w:cs="Times New Roman"/>
          <w:sz w:val="24"/>
          <w:szCs w:val="24"/>
          <w:lang w:eastAsia="ar-SA"/>
        </w:rPr>
        <w:t>legerea grinzilor simplu rezemate s-a facut pe baza  calculul</w:t>
      </w:r>
      <w:r w:rsidR="002D73FD" w:rsidRPr="002D73FD">
        <w:rPr>
          <w:rFonts w:ascii="Times New Roman" w:hAnsi="Times New Roman" w:cs="Times New Roman"/>
          <w:sz w:val="24"/>
          <w:szCs w:val="24"/>
          <w:lang w:eastAsia="ar-SA"/>
        </w:rPr>
        <w:t>ui</w:t>
      </w:r>
      <w:r w:rsidR="002D73FD" w:rsidRPr="002D73FD">
        <w:rPr>
          <w:rFonts w:ascii="Times New Roman" w:hAnsi="Times New Roman" w:cs="Times New Roman"/>
          <w:sz w:val="24"/>
          <w:szCs w:val="24"/>
          <w:lang w:eastAsia="ar-SA"/>
        </w:rPr>
        <w:t xml:space="preserve"> structurilor de poduri si podete de sosea cu suprastructuri monolit si prefabricate </w:t>
      </w:r>
    </w:p>
    <w:p w:rsidR="002D73FD" w:rsidRPr="002D73FD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Pr="002D73FD">
        <w:rPr>
          <w:rFonts w:ascii="Times New Roman" w:hAnsi="Times New Roman" w:cs="Times New Roman"/>
          <w:sz w:val="24"/>
          <w:szCs w:val="24"/>
          <w:lang w:eastAsia="ar-SA"/>
        </w:rPr>
        <w:t>aracteristici</w:t>
      </w:r>
      <w:r w:rsidRPr="002D73F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D73FD" w:rsidRPr="002D73FD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Lungimea podului 43.00 m</w:t>
      </w:r>
    </w:p>
    <w:p w:rsidR="002D73FD" w:rsidRPr="002D73FD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Inaltimea podului He-4.50m (rost elevatie fundatie- bancheta cuzinet culee)</w:t>
      </w:r>
    </w:p>
    <w:p w:rsidR="002D73FD" w:rsidRPr="002D73FD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73FD">
        <w:rPr>
          <w:rFonts w:ascii="Times New Roman" w:hAnsi="Times New Roman" w:cs="Times New Roman"/>
          <w:sz w:val="24"/>
          <w:szCs w:val="24"/>
          <w:lang w:eastAsia="ar-SA"/>
        </w:rPr>
        <w:t>Latime cale 7.00m carosabila, latime totala suprastructura cu console pentru trotuar 9.60m.</w:t>
      </w:r>
    </w:p>
    <w:p w:rsidR="002D73FD" w:rsidRPr="007D073C" w:rsidRDefault="002D73FD" w:rsidP="00076EF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2D73FD" w:rsidRPr="00076EF3" w:rsidRDefault="002D73FD" w:rsidP="002D73FD">
      <w:pPr>
        <w:widowControl w:val="0"/>
        <w:suppressAutoHyphens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076EF3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P</w:t>
      </w:r>
      <w:r w:rsidR="00076EF3" w:rsidRPr="00076EF3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ASAJ RUTIER PESTE STR. MALULUI:</w:t>
      </w:r>
    </w:p>
    <w:p w:rsidR="00076EF3" w:rsidRPr="00076EF3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6EF3">
        <w:rPr>
          <w:rFonts w:ascii="Times New Roman" w:hAnsi="Times New Roman" w:cs="Times New Roman"/>
          <w:sz w:val="24"/>
          <w:szCs w:val="24"/>
          <w:lang w:eastAsia="ar-SA"/>
        </w:rPr>
        <w:t xml:space="preserve">Dupa pregatirea terenului se executa pod pe grinzi prefabricate  deschidere 7.00m,  cu calea direct pe structura suprabetonata </w:t>
      </w:r>
    </w:p>
    <w:p w:rsidR="00076EF3" w:rsidRPr="00076EF3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6EF3">
        <w:rPr>
          <w:rFonts w:ascii="Times New Roman" w:hAnsi="Times New Roman" w:cs="Times New Roman"/>
          <w:sz w:val="24"/>
          <w:szCs w:val="24"/>
          <w:lang w:eastAsia="ar-SA"/>
        </w:rPr>
        <w:t>-alegerea grinzilor simplu rezemate s-a facut pe baza  calculul</w:t>
      </w:r>
      <w:r w:rsidR="00076EF3" w:rsidRPr="00076EF3">
        <w:rPr>
          <w:rFonts w:ascii="Times New Roman" w:hAnsi="Times New Roman" w:cs="Times New Roman"/>
          <w:sz w:val="24"/>
          <w:szCs w:val="24"/>
          <w:lang w:eastAsia="ar-SA"/>
        </w:rPr>
        <w:t>ui</w:t>
      </w:r>
      <w:r w:rsidRPr="00076EF3">
        <w:rPr>
          <w:rFonts w:ascii="Times New Roman" w:hAnsi="Times New Roman" w:cs="Times New Roman"/>
          <w:sz w:val="24"/>
          <w:szCs w:val="24"/>
          <w:lang w:eastAsia="ar-SA"/>
        </w:rPr>
        <w:t xml:space="preserve"> structurilor de poduri si podete de sosea cu suprastructuri monolit si prefabricate </w:t>
      </w:r>
    </w:p>
    <w:p w:rsidR="002D73FD" w:rsidRPr="00076EF3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6EF3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="00076EF3" w:rsidRPr="00076EF3">
        <w:rPr>
          <w:rFonts w:ascii="Times New Roman" w:hAnsi="Times New Roman" w:cs="Times New Roman"/>
          <w:sz w:val="24"/>
          <w:szCs w:val="24"/>
          <w:lang w:eastAsia="ar-SA"/>
        </w:rPr>
        <w:t>aracteristici</w:t>
      </w:r>
      <w:r w:rsidRPr="00076EF3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D73FD" w:rsidRPr="00076EF3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6EF3">
        <w:rPr>
          <w:rFonts w:ascii="Times New Roman" w:hAnsi="Times New Roman" w:cs="Times New Roman"/>
          <w:sz w:val="24"/>
          <w:szCs w:val="24"/>
          <w:lang w:eastAsia="ar-SA"/>
        </w:rPr>
        <w:t>Lungimea pasajului 14.00 m</w:t>
      </w:r>
    </w:p>
    <w:p w:rsidR="002D73FD" w:rsidRPr="00076EF3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6EF3">
        <w:rPr>
          <w:rFonts w:ascii="Times New Roman" w:hAnsi="Times New Roman" w:cs="Times New Roman"/>
          <w:sz w:val="24"/>
          <w:szCs w:val="24"/>
          <w:lang w:eastAsia="ar-SA"/>
        </w:rPr>
        <w:t>Inaltimea podului He-3.00m (rost elevatie fundatie- bancheta cuzinet culee)</w:t>
      </w:r>
    </w:p>
    <w:p w:rsidR="002D73FD" w:rsidRPr="00076EF3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6EF3">
        <w:rPr>
          <w:rFonts w:ascii="Times New Roman" w:hAnsi="Times New Roman" w:cs="Times New Roman"/>
          <w:sz w:val="24"/>
          <w:szCs w:val="24"/>
          <w:lang w:eastAsia="ar-SA"/>
        </w:rPr>
        <w:t>Latime cale 4.04m carosabila, latime totala suprastructura cu console pentru trotuar 6.04m.</w:t>
      </w:r>
    </w:p>
    <w:p w:rsidR="002D73FD" w:rsidRPr="00076EF3" w:rsidRDefault="002D73FD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73FD" w:rsidRPr="00076EF3" w:rsidRDefault="002D73FD" w:rsidP="002D73FD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6EF3">
        <w:rPr>
          <w:rFonts w:ascii="Times New Roman" w:hAnsi="Times New Roman" w:cs="Times New Roman"/>
          <w:b/>
          <w:sz w:val="24"/>
          <w:szCs w:val="24"/>
          <w:lang w:eastAsia="ar-SA"/>
        </w:rPr>
        <w:t>Podurile se reconstruiesc pe amplasamentele existente in solutie grinzi simplu rezemat avand dimensiunile fundamen</w:t>
      </w:r>
      <w:r w:rsidR="00076EF3">
        <w:rPr>
          <w:rFonts w:ascii="Times New Roman" w:hAnsi="Times New Roman" w:cs="Times New Roman"/>
          <w:b/>
          <w:sz w:val="24"/>
          <w:szCs w:val="24"/>
          <w:lang w:eastAsia="ar-SA"/>
        </w:rPr>
        <w:t>tate prin breviarele de calcul.</w:t>
      </w:r>
    </w:p>
    <w:p w:rsidR="002D73FD" w:rsidRPr="00076EF3" w:rsidRDefault="002D73FD" w:rsidP="00076E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076EF3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DRUMURI SI ACCESE</w:t>
      </w:r>
    </w:p>
    <w:p w:rsidR="002D73FD" w:rsidRPr="00076EF3" w:rsidRDefault="002D73FD" w:rsidP="00076EF3">
      <w:pPr>
        <w:widowControl w:val="0"/>
        <w:suppressAutoHyphens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6EF3">
        <w:rPr>
          <w:rFonts w:ascii="Times New Roman" w:hAnsi="Times New Roman" w:cs="Times New Roman"/>
          <w:sz w:val="24"/>
          <w:szCs w:val="24"/>
          <w:lang w:eastAsia="ar-SA"/>
        </w:rPr>
        <w:t>În conformitate cu  starea actuală a sistemului rutier existent, foraje, sondaje, trafic şi dimensionare s-au identificat următoarele soluţii propuse pentru  lucrările de   modernizare:</w:t>
      </w:r>
    </w:p>
    <w:p w:rsidR="00076EF3" w:rsidRDefault="00076EF3" w:rsidP="00076E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2D73FD" w:rsidRPr="00076EF3" w:rsidRDefault="002D73FD" w:rsidP="00076E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076EF3">
        <w:rPr>
          <w:rFonts w:ascii="Times New Roman" w:hAnsi="Times New Roman" w:cs="Times New Roman"/>
          <w:sz w:val="24"/>
          <w:szCs w:val="24"/>
        </w:rPr>
        <w:t>Imbracaminte Bitumimoasa Usoara in doua straturi: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530"/>
        <w:gridCol w:w="2061"/>
        <w:gridCol w:w="2269"/>
      </w:tblGrid>
      <w:tr w:rsidR="002D73FD" w:rsidRPr="00076EF3" w:rsidTr="004958D4">
        <w:tc>
          <w:tcPr>
            <w:tcW w:w="2398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 xml:space="preserve">      Denumirea materialului  din strat</w:t>
            </w:r>
          </w:p>
        </w:tc>
        <w:tc>
          <w:tcPr>
            <w:tcW w:w="2530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 xml:space="preserve">   H (cm)</w:t>
            </w:r>
          </w:p>
        </w:tc>
        <w:tc>
          <w:tcPr>
            <w:tcW w:w="2061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E, MPa</w:t>
            </w:r>
          </w:p>
        </w:tc>
        <w:tc>
          <w:tcPr>
            <w:tcW w:w="2269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</w:p>
        </w:tc>
      </w:tr>
      <w:tr w:rsidR="002D73FD" w:rsidRPr="00076EF3" w:rsidTr="004958D4">
        <w:tc>
          <w:tcPr>
            <w:tcW w:w="2398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Uzura             BAPC16 rul</w:t>
            </w:r>
          </w:p>
        </w:tc>
        <w:tc>
          <w:tcPr>
            <w:tcW w:w="2530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269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2D73FD" w:rsidRPr="00076EF3" w:rsidTr="004958D4">
        <w:tc>
          <w:tcPr>
            <w:tcW w:w="2398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Str.de baza  ABPS31,5 baz</w:t>
            </w:r>
          </w:p>
        </w:tc>
        <w:tc>
          <w:tcPr>
            <w:tcW w:w="2530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9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2D73FD" w:rsidRPr="00076EF3" w:rsidTr="004958D4">
        <w:tc>
          <w:tcPr>
            <w:tcW w:w="2398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Piatra Sparta</w:t>
            </w:r>
          </w:p>
        </w:tc>
        <w:tc>
          <w:tcPr>
            <w:tcW w:w="2530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1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D73FD" w:rsidRPr="00076EF3" w:rsidTr="004958D4">
        <w:tc>
          <w:tcPr>
            <w:tcW w:w="2398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Fundatie balast</w:t>
            </w:r>
          </w:p>
        </w:tc>
        <w:tc>
          <w:tcPr>
            <w:tcW w:w="2530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1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9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D73FD" w:rsidRPr="00076EF3" w:rsidTr="004958D4">
        <w:tc>
          <w:tcPr>
            <w:tcW w:w="2398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Refuz de ciur</w:t>
            </w:r>
          </w:p>
        </w:tc>
        <w:tc>
          <w:tcPr>
            <w:tcW w:w="2530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1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69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D73FD" w:rsidRPr="00076EF3" w:rsidTr="004958D4">
        <w:tc>
          <w:tcPr>
            <w:tcW w:w="2398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Pamant de fundare</w:t>
            </w:r>
          </w:p>
        </w:tc>
        <w:tc>
          <w:tcPr>
            <w:tcW w:w="2530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</w:p>
        </w:tc>
        <w:tc>
          <w:tcPr>
            <w:tcW w:w="2061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9" w:type="dxa"/>
            <w:shd w:val="clear" w:color="auto" w:fill="auto"/>
          </w:tcPr>
          <w:p w:rsidR="002D73FD" w:rsidRPr="00076EF3" w:rsidRDefault="002D73FD" w:rsidP="00076E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</w:tbl>
    <w:p w:rsidR="002D73FD" w:rsidRDefault="002D73FD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</w:p>
    <w:p w:rsidR="00076EF3" w:rsidRDefault="00076EF3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</w:p>
    <w:p w:rsidR="00076EF3" w:rsidRDefault="00076EF3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</w:p>
    <w:p w:rsidR="00076EF3" w:rsidRDefault="00076EF3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</w:p>
    <w:p w:rsidR="00076EF3" w:rsidRDefault="00076EF3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</w:p>
    <w:p w:rsidR="002D73FD" w:rsidRDefault="002D73FD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</w:p>
    <w:p w:rsidR="00B80C9C" w:rsidRPr="00F0310D" w:rsidRDefault="00B80C9C" w:rsidP="00B80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Pr="00F031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cumularea cu alte proiecte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B80C9C" w:rsidRDefault="00B80C9C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F031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utilizarea resurselor naturale</w:t>
      </w: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310D">
        <w:rPr>
          <w:rFonts w:ascii="Times New Roman" w:eastAsia="Calibri" w:hAnsi="Times New Roman" w:cs="Times New Roman"/>
          <w:sz w:val="24"/>
          <w:szCs w:val="24"/>
          <w:lang w:eastAsia="pl-PL"/>
        </w:rPr>
        <w:t>se vor utiliza resurse naturale în cantităţi limitate, iar materialele necesare realizării proiectului</w:t>
      </w:r>
      <w:r w:rsidRPr="00644E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vor fi prelu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ate de la societăţi autorizate;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producţia de deşeuri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emisiile poluante, inclusiv zgomotul şi alte surse de disconfort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riscul de accident, ţinându-se seama în special de substanţele şi de tehnologiile utilizate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periculoase; </w:t>
      </w:r>
    </w:p>
    <w:p w:rsidR="000F76DC" w:rsidRDefault="000F76DC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 Localizarea proiectelor</w:t>
      </w:r>
    </w:p>
    <w:p w:rsidR="00C9649D" w:rsidRPr="000F76DC" w:rsidRDefault="00C9649D" w:rsidP="00C964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2.1. ut</w:t>
      </w:r>
      <w:r w:rsidR="000F76DC">
        <w:rPr>
          <w:rFonts w:ascii="Times New Roman" w:eastAsia="Calibri" w:hAnsi="Times New Roman" w:cs="Times New Roman"/>
          <w:sz w:val="24"/>
          <w:szCs w:val="24"/>
        </w:rPr>
        <w:t>ilizarea existentă a terenului:teren</w:t>
      </w:r>
      <w:r w:rsidR="00312525">
        <w:rPr>
          <w:rFonts w:ascii="Times New Roman" w:eastAsia="Calibri" w:hAnsi="Times New Roman" w:cs="Times New Roman"/>
          <w:sz w:val="24"/>
          <w:szCs w:val="24"/>
        </w:rPr>
        <w:t xml:space="preserve"> neproductiv, categoria de folosință - </w:t>
      </w:r>
      <w:r w:rsidR="000F76DC">
        <w:rPr>
          <w:rFonts w:ascii="Times New Roman" w:eastAsia="Calibri" w:hAnsi="Times New Roman" w:cs="Times New Roman"/>
          <w:sz w:val="24"/>
          <w:szCs w:val="24"/>
        </w:rPr>
        <w:t>căi de comunicație</w:t>
      </w:r>
      <w:r w:rsidR="000F76D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9649D" w:rsidRPr="00644E89" w:rsidRDefault="00C9649D" w:rsidP="00C964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capacitatea de absorbţie a mediului, cu atenţie deosebită pentru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613C" w:rsidRPr="00EF613C" w:rsidRDefault="00C9649D" w:rsidP="00EF613C">
      <w:pPr>
        <w:pStyle w:val="ListParagraph"/>
        <w:numPr>
          <w:ilvl w:val="0"/>
          <w:numId w:val="9"/>
        </w:numPr>
        <w:tabs>
          <w:tab w:val="clear" w:pos="6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 xml:space="preserve">zonele umede: </w:t>
      </w:r>
      <w:r w:rsidR="00EF613C" w:rsidRPr="00EF613C">
        <w:rPr>
          <w:rFonts w:ascii="Times New Roman" w:eastAsia="Calibri" w:hAnsi="Times New Roman" w:cs="Times New Roman"/>
          <w:sz w:val="24"/>
          <w:szCs w:val="24"/>
        </w:rPr>
        <w:t>nu este cazul;</w:t>
      </w:r>
    </w:p>
    <w:p w:rsidR="00C9649D" w:rsidRPr="00EF613C" w:rsidRDefault="00C9649D" w:rsidP="00EF613C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>zonele costiere: nu este cazul;</w:t>
      </w:r>
    </w:p>
    <w:p w:rsidR="00C9649D" w:rsidRPr="00644E89" w:rsidRDefault="00C9649D" w:rsidP="00EF613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c) zonele montane şi cele împădurite: nu este cazul;</w:t>
      </w:r>
    </w:p>
    <w:p w:rsidR="00C9649D" w:rsidRPr="00644E89" w:rsidRDefault="00C9649D" w:rsidP="00EF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d) parcurile şi rezervaţiile naturale: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e) ariile clasificate sau zonele protejate prin legislaţia în vigoare, cum sunt:  proiectul nu este amplasat în sau în vecinătatea unei arii naturale protejate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zonele de protecţie specială, mai ales cele desemnate prin Ordonanţa de Urgenţă a Guvernului nr. </w:t>
      </w:r>
      <w:hyperlink r:id="rId13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57/2007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4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5/2000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5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107/1996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, cu modificările şi completările ulterioare, şi Hotărârea Guvernului nr. </w:t>
      </w:r>
      <w:hyperlink r:id="rId16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930/2005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pentru aprobarea Normelor speciale privind caracterul şi mărimea zonelor de protecţie sanitară şi hidrogeologică: proiectul nu este inclus în zone de protecţie specială desemnate;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g) ariile în care standardele de calitate a mediului stabilite de legislaţie au fost deja depăşite: nu au fost înregistrate astfel de situaţii; 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h) ariile dens populate: nu e cazul lucrările propuse nu se află într-o zonă cu locuinţe individuale;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i) peisajele cu semnificaţie istorică, culturală şi arheologică: 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 xml:space="preserve">nu este cazul; </w:t>
      </w:r>
    </w:p>
    <w:p w:rsidR="00A4282D" w:rsidRPr="00542880" w:rsidRDefault="00A4282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3. Caracteristicile impactului potenţial:</w:t>
      </w:r>
      <w:r w:rsidRPr="00644E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b) natura transfrontieră a impactului:  nu este cazul;</w:t>
      </w:r>
    </w:p>
    <w:p w:rsidR="00C9649D" w:rsidRPr="00644E89" w:rsidRDefault="00C9649D" w:rsidP="00C9649D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c) mărimea şi complexitatea impactului: impact relativ redus şi local atât pe perioada execuţiei proiectului;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d) probabilitatea impactului:  impact cu probabilitate redusă pe parcursul realizării investiţiei, deoarece măsurile prevăzute de proiect nu vor afecta semnificativ factorii de mediu (aer, apă, sol, aşezări umane);</w:t>
      </w:r>
    </w:p>
    <w:p w:rsidR="00716D52" w:rsidRPr="00305009" w:rsidRDefault="00C9649D" w:rsidP="003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e) durata, frecvenţa şi reversibilitatea impactului: impact cu durată, frecvenţă şi reversibilitate reduse datorită naturii proiectului  şi măsurilor prevăzute de acesta;</w:t>
      </w:r>
      <w:r w:rsidRPr="00644E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716D52" w:rsidRDefault="00716D52" w:rsidP="00A4282D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</w:p>
    <w:p w:rsidR="00A4282D" w:rsidRPr="00644E89" w:rsidRDefault="00A4282D" w:rsidP="00A4282D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EF613C" w:rsidRPr="00EF613C" w:rsidRDefault="00EF613C" w:rsidP="00EF613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ab/>
      </w:r>
      <w:r w:rsidR="00A4282D" w:rsidRPr="00EF61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după realizarea acestuia să ia toate măsurile necesare pentru a nu se produce poluarea apelor subterane, de suprafaţă, a solului sau a aerului</w:t>
      </w:r>
      <w:r w:rsidR="00A4282D" w:rsidRPr="00EF613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Condiţii impuse pentru organizarea de şantier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organizarea de şantier se va face numai în culoarul de lucru din suprafaţa, zona frontului de lucru va fi semnalizată prin mijloace corespunzătoare de avertizare; </w:t>
      </w:r>
    </w:p>
    <w:p w:rsidR="00C9649D" w:rsidRPr="00644E89" w:rsidRDefault="00C9649D" w:rsidP="00C9649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lucrările de construcţie se vor executa după un program bine stabilit astfel încât să  nu se creeze disconfort locuinţelor învecinate;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utilajele şi muncitorii se vor deplasa zilnic la locul de execuţie al lucrării;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materialele necesare executării lucrărilor se vor pune în operă în aceeaşi zi;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accesul la lucrările propuse se va face pe drumurile publice de interes local existente în zonă; 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realizarea de împrejmuiri, semnalizări si alte avertizări pentru a delimita zonele de lucru;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este interzisa deversarea deșeurilor de orice tip sau a resturilor de materiale in albiile cursurilor de apa permanente sau nepermanente;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se interzice staționarea utilajelor in cursurile de apa;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in cazul apariției unor pierderi de produse petroliere, acestea vor fi îndepărtate cu materiale absorbante care se vor colecta in containere etanșe, acoperite si etichetate; containerele vor fi predate unor societății autorizate pentru colectarea si eliminarea deșeurilor petroliere;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 fronturile de lucru se interzic operațiuni de schimbare a uleiului, demontarea sau dezasamblarea utilajelor sau mijloacelor de transport, întreținerea utilajelor va fi efectuata in ateliere specializate;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intervenție operativa cu răspuns in timp util in caz de poluări accidentale, cu luarea tuturor masurilor de limitare si înlăturare a efectelor poluării si anunțarea autorității de mediu: APM Dâmbovița si Garda N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ațională de </w:t>
      </w:r>
      <w:r w:rsidRPr="00644E89">
        <w:rPr>
          <w:rFonts w:ascii="Times New Roman" w:eastAsia="Calibri" w:hAnsi="Times New Roman" w:cs="Times New Roman"/>
          <w:sz w:val="24"/>
          <w:szCs w:val="24"/>
        </w:rPr>
        <w:t>M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ediu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– C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omisariatul </w:t>
      </w:r>
      <w:r w:rsidRPr="00644E89">
        <w:rPr>
          <w:rFonts w:ascii="Times New Roman" w:eastAsia="Calibri" w:hAnsi="Times New Roman" w:cs="Times New Roman"/>
          <w:sz w:val="24"/>
          <w:szCs w:val="24"/>
        </w:rPr>
        <w:t>J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udețean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Dâmbovița;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pacing w:val="-3"/>
          <w:sz w:val="24"/>
          <w:szCs w:val="24"/>
        </w:rPr>
        <w:t>- titularul are obligaţia de a urmări modul de respectare a legislaţiei de mediu în vigoare pe toată perioada de execuţie a lucrărilor şi să ia toate măsurile necesare pentru a nu se produce poluarea apelor subterane, de suprafaţă, a solului sau a aerului;</w:t>
      </w:r>
    </w:p>
    <w:p w:rsidR="00A4282D" w:rsidRPr="00542880" w:rsidRDefault="00A4282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5392" w:rsidRPr="00EF613C" w:rsidRDefault="00C9649D" w:rsidP="00EF6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Protecţia factorilor de mediu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Protecţia apelor</w:t>
      </w:r>
    </w:p>
    <w:p w:rsidR="00305009" w:rsidRP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se vor asigura sisteme controlate de colectare, depozitare şi evacuare a deşeurilor în vederea evitării impurificării apelor de suprafaţă şi subterane;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Protecţia împotriva zgomotului </w:t>
      </w:r>
    </w:p>
    <w:p w:rsidR="00005392" w:rsidRPr="00115AA1" w:rsidRDefault="00C9649D" w:rsidP="00115AA1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Protecţia solului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alimentarea cu carburanţi a mijloacelor de transport se va face de la staţii de distribuţie carburanţi autorizate, </w:t>
      </w:r>
      <w:r w:rsidR="00115AA1" w:rsidRPr="00644E89">
        <w:rPr>
          <w:rFonts w:ascii="Times New Roman" w:eastAsia="Calibri" w:hAnsi="Times New Roman" w:cs="Times New Roman"/>
          <w:sz w:val="24"/>
          <w:szCs w:val="24"/>
        </w:rPr>
        <w:t>iar pentru utilaje alimentarea se va face numai</w:t>
      </w:r>
    </w:p>
    <w:p w:rsidR="00115AA1" w:rsidRDefault="00115AA1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cu respectarea tuturor normelor de protecţia  mediului;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- depozitarea materialelor se va face în zone special </w:t>
      </w:r>
      <w:r w:rsidRPr="00644E89">
        <w:rPr>
          <w:rFonts w:ascii="Times New Roman" w:eastAsia="Calibri" w:hAnsi="Times New Roman" w:cs="Times New Roman"/>
          <w:sz w:val="24"/>
          <w:szCs w:val="24"/>
        </w:rPr>
        <w:t>amenajate pe amplasament, fără a se afecta circulaţia în zona lucrărilor;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005392" w:rsidRPr="00EF613C" w:rsidRDefault="00005392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Modul de gospodărire a deşeurilor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deşeurile reciclabile rezultate în urma lucrărilor se vor colecta selectiv prin grija executantului lucrării si predate la firme specializate în valorificarea/eliminarea lor; 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conform H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>G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13C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856/2002 constructorul are obligaţia să ţină evidenţa strictă a cantităţilor şi tipurilor de deşeuri produse, valorificate sau comercializate şi circuitul acestora; 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Lucrări de refacere a amplasamentului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C9649D" w:rsidRPr="00644E89" w:rsidRDefault="00C9649D" w:rsidP="00C9649D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se vor lua toate măsurile pentru evitarea poluărilor accidentale, iar în cazul unor  astfel de incidente, se va acţiona imediat  pentru a controla, izola, elimina poluarea;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Monitorizarea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bCs/>
          <w:sz w:val="24"/>
          <w:szCs w:val="24"/>
        </w:rPr>
        <w:t>În timpul implementării proiectului:</w:t>
      </w: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 în scopul eliminării eventualelor disfuncţionalităţi, pe întreaga durată a şantierului vor fi supravegheate: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buna funcţionare a utilajelor;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modul de depozitare a materialelor de construcţie, al deşeurilor/valorificare şi monitorizarea cantităţilor de  deşeuri generate;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normelor de securitate, respectiv a normelor de securitate a muncii;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măsurilor de reducere a poluării;</w:t>
      </w:r>
    </w:p>
    <w:p w:rsidR="00005392" w:rsidRDefault="00C9649D" w:rsidP="005428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refacerea la sfârşitu</w:t>
      </w:r>
      <w:r w:rsidR="00542880">
        <w:rPr>
          <w:rFonts w:ascii="Times New Roman" w:eastAsia="Calibri" w:hAnsi="Times New Roman" w:cs="Times New Roman"/>
          <w:bCs/>
          <w:sz w:val="24"/>
          <w:szCs w:val="24"/>
        </w:rPr>
        <w:t>l lucrărilor a zonelor afectate.</w:t>
      </w:r>
    </w:p>
    <w:p w:rsidR="00542880" w:rsidRPr="00542880" w:rsidRDefault="00542880" w:rsidP="0054288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05392" w:rsidRPr="00542880" w:rsidRDefault="00C9649D" w:rsidP="0054288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005392" w:rsidRPr="00542880" w:rsidRDefault="00005392" w:rsidP="00542880">
      <w:pPr>
        <w:tabs>
          <w:tab w:val="left" w:pos="-720"/>
        </w:tabs>
        <w:suppressAutoHyphens/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C9649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Prezenta decizie este valabilă pe toată perioada punerii în aplicare a proiectului, până la finalizarea acestuia.</w:t>
      </w:r>
    </w:p>
    <w:p w:rsidR="00005392" w:rsidRPr="00542880" w:rsidRDefault="00C9649D" w:rsidP="00542880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</w:t>
      </w:r>
      <w:r w:rsidR="00005392"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necunoscute la data emiterii</w:t>
      </w: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A4282D" w:rsidRPr="00542880" w:rsidRDefault="00C9649D" w:rsidP="00542880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Proiectul propus</w:t>
      </w:r>
      <w:r w:rsidR="00A4282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nu necesită parcurgerea celorlalte etape ale procedurilor de evaluare a impactului asupra mediului şi evaluarea adecvată</w:t>
      </w:r>
      <w:r w:rsidRPr="00644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D2D" w:rsidRPr="00305009" w:rsidRDefault="00C9649D" w:rsidP="00305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6D7D2D" w:rsidRDefault="006D7D2D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A1" w:rsidRDefault="00115AA1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A1" w:rsidRPr="00644E89" w:rsidRDefault="00115AA1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BE" w:rsidRPr="00644E89" w:rsidRDefault="00FF338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</w:t>
      </w:r>
      <w:r w:rsidR="006959BE" w:rsidRPr="00644E89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6959BE" w:rsidRPr="00644E89">
        <w:rPr>
          <w:rFonts w:ascii="Times New Roman" w:hAnsi="Times New Roman" w:cs="Times New Roman"/>
          <w:sz w:val="24"/>
          <w:szCs w:val="24"/>
        </w:rPr>
        <w:t>,</w:t>
      </w:r>
    </w:p>
    <w:p w:rsidR="006959BE" w:rsidRPr="00305009" w:rsidRDefault="00644E89" w:rsidP="0030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644E89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644E89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89" w:rsidRPr="00644E89" w:rsidRDefault="006959BE" w:rsidP="0064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E89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25">
        <w:rPr>
          <w:rFonts w:ascii="Times New Roman" w:hAnsi="Times New Roman" w:cs="Times New Roman"/>
          <w:b/>
          <w:sz w:val="24"/>
          <w:szCs w:val="24"/>
        </w:rPr>
        <w:tab/>
      </w:r>
      <w:r w:rsidR="00312525">
        <w:rPr>
          <w:rFonts w:ascii="Times New Roman" w:hAnsi="Times New Roman" w:cs="Times New Roman"/>
          <w:b/>
          <w:sz w:val="24"/>
          <w:szCs w:val="24"/>
        </w:rPr>
        <w:tab/>
      </w:r>
      <w:r w:rsidR="003125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EF61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4E89" w:rsidRPr="00644E89">
        <w:rPr>
          <w:rFonts w:ascii="Times New Roman" w:hAnsi="Times New Roman" w:cs="Times New Roman"/>
          <w:sz w:val="20"/>
          <w:szCs w:val="20"/>
        </w:rPr>
        <w:t>Întocmit,</w:t>
      </w:r>
    </w:p>
    <w:p w:rsidR="00EF613C" w:rsidRPr="00644E89" w:rsidRDefault="00EF613C" w:rsidP="00305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009">
        <w:rPr>
          <w:rFonts w:ascii="Times New Roman" w:hAnsi="Times New Roman" w:cs="Times New Roman"/>
          <w:sz w:val="24"/>
          <w:szCs w:val="24"/>
        </w:rPr>
        <w:t xml:space="preserve">            Maria M</w:t>
      </w:r>
      <w:r w:rsidR="00312525" w:rsidRPr="00305009">
        <w:rPr>
          <w:rFonts w:ascii="Times New Roman" w:hAnsi="Times New Roman" w:cs="Times New Roman"/>
          <w:sz w:val="24"/>
          <w:szCs w:val="24"/>
        </w:rPr>
        <w:t>orcoașe</w:t>
      </w:r>
      <w:r w:rsidR="00312525" w:rsidRPr="00644E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252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305009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consilier </w:t>
      </w:r>
      <w:r w:rsidR="006D7D2D">
        <w:rPr>
          <w:rFonts w:ascii="Times New Roman" w:hAnsi="Times New Roman" w:cs="Times New Roman"/>
          <w:sz w:val="20"/>
          <w:szCs w:val="20"/>
        </w:rPr>
        <w:t>Adriana Predescu</w:t>
      </w:r>
    </w:p>
    <w:sectPr w:rsidR="00EF613C" w:rsidRPr="00644E89" w:rsidSect="00B36897">
      <w:footerReference w:type="default" r:id="rId17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E3" w:rsidRDefault="00D343E3" w:rsidP="00EE5AEC">
      <w:pPr>
        <w:spacing w:after="0" w:line="240" w:lineRule="auto"/>
      </w:pPr>
      <w:r>
        <w:separator/>
      </w:r>
    </w:p>
  </w:endnote>
  <w:endnote w:type="continuationSeparator" w:id="0">
    <w:p w:rsidR="00D343E3" w:rsidRDefault="00D343E3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val="en-US"/>
      </w:rPr>
      <w:drawing>
        <wp:inline distT="0" distB="0" distL="0" distR="0" wp14:anchorId="4A261DB6" wp14:editId="334EB7B8">
          <wp:extent cx="6236970" cy="688975"/>
          <wp:effectExtent l="0" t="0" r="0" b="0"/>
          <wp:docPr id="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FF12FC">
      <w:rPr>
        <w:noProof/>
      </w:rPr>
      <w:t>1</w:t>
    </w:r>
    <w:r>
      <w:fldChar w:fldCharType="end"/>
    </w:r>
  </w:p>
  <w:p w:rsidR="0080168A" w:rsidRDefault="0080168A"/>
  <w:p w:rsidR="0080168A" w:rsidRDefault="0080168A"/>
  <w:p w:rsidR="0080168A" w:rsidRDefault="00801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E3" w:rsidRDefault="00D343E3" w:rsidP="00EE5AEC">
      <w:pPr>
        <w:spacing w:after="0" w:line="240" w:lineRule="auto"/>
      </w:pPr>
      <w:r>
        <w:separator/>
      </w:r>
    </w:p>
  </w:footnote>
  <w:footnote w:type="continuationSeparator" w:id="0">
    <w:p w:rsidR="00D343E3" w:rsidRDefault="00D343E3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0ACE2"/>
    <w:lvl w:ilvl="0">
      <w:numFmt w:val="bullet"/>
      <w:lvlText w:val="*"/>
      <w:lvlJc w:val="left"/>
    </w:lvl>
  </w:abstractNum>
  <w:abstractNum w:abstractNumId="1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41B0"/>
    <w:multiLevelType w:val="hybridMultilevel"/>
    <w:tmpl w:val="32A69A92"/>
    <w:name w:val="WW8Num12"/>
    <w:lvl w:ilvl="0" w:tplc="DA7098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2122C"/>
    <w:multiLevelType w:val="hybridMultilevel"/>
    <w:tmpl w:val="88F8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8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E2BB4"/>
    <w:multiLevelType w:val="singleLevel"/>
    <w:tmpl w:val="C5142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45FA"/>
    <w:multiLevelType w:val="hybridMultilevel"/>
    <w:tmpl w:val="DB503A26"/>
    <w:lvl w:ilvl="0" w:tplc="1C347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B06D1"/>
    <w:multiLevelType w:val="hybridMultilevel"/>
    <w:tmpl w:val="2A1605A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D135B"/>
    <w:multiLevelType w:val="hybridMultilevel"/>
    <w:tmpl w:val="0798D24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F7769"/>
    <w:multiLevelType w:val="hybridMultilevel"/>
    <w:tmpl w:val="74288E50"/>
    <w:lvl w:ilvl="0" w:tplc="35D0C8C2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8"/>
  </w:num>
  <w:num w:numId="5">
    <w:abstractNumId w:val="14"/>
  </w:num>
  <w:num w:numId="6">
    <w:abstractNumId w:val="3"/>
  </w:num>
  <w:num w:numId="7">
    <w:abstractNumId w:val="21"/>
  </w:num>
  <w:num w:numId="8">
    <w:abstractNumId w:val="1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19"/>
  </w:num>
  <w:num w:numId="15">
    <w:abstractNumId w:val="25"/>
  </w:num>
  <w:num w:numId="16">
    <w:abstractNumId w:val="8"/>
  </w:num>
  <w:num w:numId="17">
    <w:abstractNumId w:val="30"/>
  </w:num>
  <w:num w:numId="18">
    <w:abstractNumId w:val="3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30"/>
  </w:num>
  <w:num w:numId="29">
    <w:abstractNumId w:val="1"/>
  </w:num>
  <w:num w:numId="30">
    <w:abstractNumId w:val="10"/>
  </w:num>
  <w:num w:numId="31">
    <w:abstractNumId w:val="16"/>
  </w:num>
  <w:num w:numId="32">
    <w:abstractNumId w:val="22"/>
  </w:num>
  <w:num w:numId="3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2"/>
  </w:num>
  <w:num w:numId="38">
    <w:abstractNumId w:val="27"/>
  </w:num>
  <w:num w:numId="39">
    <w:abstractNumId w:val="5"/>
  </w:num>
  <w:num w:numId="40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5392"/>
    <w:rsid w:val="00024271"/>
    <w:rsid w:val="00051258"/>
    <w:rsid w:val="00051494"/>
    <w:rsid w:val="00067B51"/>
    <w:rsid w:val="00074281"/>
    <w:rsid w:val="00076EF3"/>
    <w:rsid w:val="00095AC6"/>
    <w:rsid w:val="00095BEA"/>
    <w:rsid w:val="000A2E73"/>
    <w:rsid w:val="000D35A8"/>
    <w:rsid w:val="000D5042"/>
    <w:rsid w:val="000F0C76"/>
    <w:rsid w:val="000F76DC"/>
    <w:rsid w:val="00102243"/>
    <w:rsid w:val="001057FC"/>
    <w:rsid w:val="00115AA1"/>
    <w:rsid w:val="00135F05"/>
    <w:rsid w:val="00144DDF"/>
    <w:rsid w:val="001568A5"/>
    <w:rsid w:val="0016797F"/>
    <w:rsid w:val="00167D80"/>
    <w:rsid w:val="00171A29"/>
    <w:rsid w:val="00172764"/>
    <w:rsid w:val="00180DB7"/>
    <w:rsid w:val="0019061E"/>
    <w:rsid w:val="001974A8"/>
    <w:rsid w:val="00197EB4"/>
    <w:rsid w:val="001A24D9"/>
    <w:rsid w:val="001A4826"/>
    <w:rsid w:val="001D5C27"/>
    <w:rsid w:val="001E678F"/>
    <w:rsid w:val="001F3B49"/>
    <w:rsid w:val="001F65BD"/>
    <w:rsid w:val="00207D2B"/>
    <w:rsid w:val="002113D1"/>
    <w:rsid w:val="002133C9"/>
    <w:rsid w:val="0021437D"/>
    <w:rsid w:val="002176A0"/>
    <w:rsid w:val="002200CB"/>
    <w:rsid w:val="00222838"/>
    <w:rsid w:val="0024580B"/>
    <w:rsid w:val="00276C7B"/>
    <w:rsid w:val="002A507E"/>
    <w:rsid w:val="002B7416"/>
    <w:rsid w:val="002B7699"/>
    <w:rsid w:val="002C0CE0"/>
    <w:rsid w:val="002C64DC"/>
    <w:rsid w:val="002D03E4"/>
    <w:rsid w:val="002D73FD"/>
    <w:rsid w:val="002E2C5D"/>
    <w:rsid w:val="002F6E0B"/>
    <w:rsid w:val="003019A2"/>
    <w:rsid w:val="00305009"/>
    <w:rsid w:val="00312525"/>
    <w:rsid w:val="00333566"/>
    <w:rsid w:val="00351752"/>
    <w:rsid w:val="00360E57"/>
    <w:rsid w:val="0036379B"/>
    <w:rsid w:val="003970F1"/>
    <w:rsid w:val="003A7E0E"/>
    <w:rsid w:val="003B2BF5"/>
    <w:rsid w:val="003B482C"/>
    <w:rsid w:val="003B4D93"/>
    <w:rsid w:val="003C4437"/>
    <w:rsid w:val="003E46D4"/>
    <w:rsid w:val="00404666"/>
    <w:rsid w:val="0042202A"/>
    <w:rsid w:val="00424209"/>
    <w:rsid w:val="00433D29"/>
    <w:rsid w:val="0044475A"/>
    <w:rsid w:val="00456939"/>
    <w:rsid w:val="00462B27"/>
    <w:rsid w:val="004A1535"/>
    <w:rsid w:val="004A1B57"/>
    <w:rsid w:val="004A3AB9"/>
    <w:rsid w:val="004A3FDA"/>
    <w:rsid w:val="004B6303"/>
    <w:rsid w:val="004F010B"/>
    <w:rsid w:val="004F495D"/>
    <w:rsid w:val="004F67C2"/>
    <w:rsid w:val="00512E17"/>
    <w:rsid w:val="0053048D"/>
    <w:rsid w:val="00542880"/>
    <w:rsid w:val="005614FE"/>
    <w:rsid w:val="00570B71"/>
    <w:rsid w:val="005815FE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0711C"/>
    <w:rsid w:val="00612BD1"/>
    <w:rsid w:val="00613314"/>
    <w:rsid w:val="006172C2"/>
    <w:rsid w:val="006206C3"/>
    <w:rsid w:val="00641AB8"/>
    <w:rsid w:val="00644DD0"/>
    <w:rsid w:val="00644E89"/>
    <w:rsid w:val="00680B05"/>
    <w:rsid w:val="006959BE"/>
    <w:rsid w:val="006D548B"/>
    <w:rsid w:val="006D7856"/>
    <w:rsid w:val="006D7D2D"/>
    <w:rsid w:val="006E3A32"/>
    <w:rsid w:val="006F065F"/>
    <w:rsid w:val="007058A6"/>
    <w:rsid w:val="00711EDB"/>
    <w:rsid w:val="00716D52"/>
    <w:rsid w:val="00722BE2"/>
    <w:rsid w:val="0074133C"/>
    <w:rsid w:val="007449D7"/>
    <w:rsid w:val="007516E9"/>
    <w:rsid w:val="007626A4"/>
    <w:rsid w:val="00791330"/>
    <w:rsid w:val="007A4B5D"/>
    <w:rsid w:val="007A567D"/>
    <w:rsid w:val="007B79EA"/>
    <w:rsid w:val="007C3819"/>
    <w:rsid w:val="007D630E"/>
    <w:rsid w:val="007D79C9"/>
    <w:rsid w:val="007F1F7B"/>
    <w:rsid w:val="0080168A"/>
    <w:rsid w:val="00834097"/>
    <w:rsid w:val="008369AC"/>
    <w:rsid w:val="00837B75"/>
    <w:rsid w:val="00852BE9"/>
    <w:rsid w:val="0086539D"/>
    <w:rsid w:val="008B210D"/>
    <w:rsid w:val="008C47E7"/>
    <w:rsid w:val="008D1DBD"/>
    <w:rsid w:val="008F6588"/>
    <w:rsid w:val="008F7B41"/>
    <w:rsid w:val="00912F44"/>
    <w:rsid w:val="009167CA"/>
    <w:rsid w:val="00937BE6"/>
    <w:rsid w:val="00967552"/>
    <w:rsid w:val="00971AF8"/>
    <w:rsid w:val="00972D32"/>
    <w:rsid w:val="009A7CB8"/>
    <w:rsid w:val="009D477B"/>
    <w:rsid w:val="00A10BDF"/>
    <w:rsid w:val="00A15BC1"/>
    <w:rsid w:val="00A25301"/>
    <w:rsid w:val="00A4282D"/>
    <w:rsid w:val="00A5101E"/>
    <w:rsid w:val="00A51953"/>
    <w:rsid w:val="00A56D12"/>
    <w:rsid w:val="00A57600"/>
    <w:rsid w:val="00A6161A"/>
    <w:rsid w:val="00A647D3"/>
    <w:rsid w:val="00A67E94"/>
    <w:rsid w:val="00A84753"/>
    <w:rsid w:val="00AA31AC"/>
    <w:rsid w:val="00AB4990"/>
    <w:rsid w:val="00AD5885"/>
    <w:rsid w:val="00AE1F9C"/>
    <w:rsid w:val="00AF736A"/>
    <w:rsid w:val="00B1664F"/>
    <w:rsid w:val="00B169FF"/>
    <w:rsid w:val="00B207B9"/>
    <w:rsid w:val="00B3286F"/>
    <w:rsid w:val="00B36897"/>
    <w:rsid w:val="00B77FDD"/>
    <w:rsid w:val="00B80C9C"/>
    <w:rsid w:val="00B96B24"/>
    <w:rsid w:val="00BB01A7"/>
    <w:rsid w:val="00BD4BFF"/>
    <w:rsid w:val="00BD7C3A"/>
    <w:rsid w:val="00BE3395"/>
    <w:rsid w:val="00C025D0"/>
    <w:rsid w:val="00C14094"/>
    <w:rsid w:val="00C36162"/>
    <w:rsid w:val="00C51029"/>
    <w:rsid w:val="00C57408"/>
    <w:rsid w:val="00C76160"/>
    <w:rsid w:val="00C761CC"/>
    <w:rsid w:val="00C9340C"/>
    <w:rsid w:val="00C9649D"/>
    <w:rsid w:val="00CB165A"/>
    <w:rsid w:val="00CD145B"/>
    <w:rsid w:val="00CD50D4"/>
    <w:rsid w:val="00D235E9"/>
    <w:rsid w:val="00D343E3"/>
    <w:rsid w:val="00D52D6D"/>
    <w:rsid w:val="00D65E7E"/>
    <w:rsid w:val="00D7402F"/>
    <w:rsid w:val="00D7690A"/>
    <w:rsid w:val="00D80391"/>
    <w:rsid w:val="00D85488"/>
    <w:rsid w:val="00D96D00"/>
    <w:rsid w:val="00DA1827"/>
    <w:rsid w:val="00DC6F82"/>
    <w:rsid w:val="00DE3A94"/>
    <w:rsid w:val="00DF2AC4"/>
    <w:rsid w:val="00E14E3B"/>
    <w:rsid w:val="00E401B8"/>
    <w:rsid w:val="00E45F4C"/>
    <w:rsid w:val="00E47C9C"/>
    <w:rsid w:val="00E51181"/>
    <w:rsid w:val="00E51DE7"/>
    <w:rsid w:val="00E53CDC"/>
    <w:rsid w:val="00E6529F"/>
    <w:rsid w:val="00E75B41"/>
    <w:rsid w:val="00E91709"/>
    <w:rsid w:val="00EB4F82"/>
    <w:rsid w:val="00EB785E"/>
    <w:rsid w:val="00EE3CE8"/>
    <w:rsid w:val="00EE4AB2"/>
    <w:rsid w:val="00EE5AEC"/>
    <w:rsid w:val="00EF064F"/>
    <w:rsid w:val="00EF613C"/>
    <w:rsid w:val="00F0310D"/>
    <w:rsid w:val="00F07805"/>
    <w:rsid w:val="00F17E0F"/>
    <w:rsid w:val="00F2634B"/>
    <w:rsid w:val="00F368FB"/>
    <w:rsid w:val="00F43503"/>
    <w:rsid w:val="00F44C16"/>
    <w:rsid w:val="00F53EFD"/>
    <w:rsid w:val="00F64742"/>
    <w:rsid w:val="00F72054"/>
    <w:rsid w:val="00F86065"/>
    <w:rsid w:val="00F86A3F"/>
    <w:rsid w:val="00F978A2"/>
    <w:rsid w:val="00FA704C"/>
    <w:rsid w:val="00FA7571"/>
    <w:rsid w:val="00FB05B7"/>
    <w:rsid w:val="00FB35EB"/>
    <w:rsid w:val="00FD643D"/>
    <w:rsid w:val="00FF12FC"/>
    <w:rsid w:val="00FF338E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D73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paragraph" w:customStyle="1" w:styleId="Style24">
    <w:name w:val="Style24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61" w:lineRule="exact"/>
      <w:ind w:firstLine="75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59" w:lineRule="exact"/>
      <w:ind w:firstLine="119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57">
    <w:name w:val="Font Style57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8">
    <w:name w:val="Font Style68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E75B4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2">
    <w:name w:val="Font Style72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5">
    <w:name w:val="Font Style75"/>
    <w:basedOn w:val="DefaultParagraphFont"/>
    <w:uiPriority w:val="99"/>
    <w:rsid w:val="008F7B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Normal"/>
    <w:uiPriority w:val="99"/>
    <w:rsid w:val="00F2634B"/>
    <w:pPr>
      <w:widowControl w:val="0"/>
      <w:autoSpaceDE w:val="0"/>
      <w:autoSpaceDN w:val="0"/>
      <w:adjustRightInd w:val="0"/>
      <w:spacing w:after="0" w:line="248" w:lineRule="exact"/>
      <w:ind w:hanging="28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465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50">
    <w:name w:val="Style50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4">
    <w:name w:val="Font Style74"/>
    <w:basedOn w:val="DefaultParagraphFont"/>
    <w:uiPriority w:val="99"/>
    <w:rsid w:val="000F76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6">
    <w:name w:val="Font Style76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D73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D73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paragraph" w:customStyle="1" w:styleId="Style24">
    <w:name w:val="Style24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61" w:lineRule="exact"/>
      <w:ind w:firstLine="75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59" w:lineRule="exact"/>
      <w:ind w:firstLine="119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57">
    <w:name w:val="Font Style57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8">
    <w:name w:val="Font Style68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E75B4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2">
    <w:name w:val="Font Style72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5">
    <w:name w:val="Font Style75"/>
    <w:basedOn w:val="DefaultParagraphFont"/>
    <w:uiPriority w:val="99"/>
    <w:rsid w:val="008F7B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Normal"/>
    <w:uiPriority w:val="99"/>
    <w:rsid w:val="00F2634B"/>
    <w:pPr>
      <w:widowControl w:val="0"/>
      <w:autoSpaceDE w:val="0"/>
      <w:autoSpaceDN w:val="0"/>
      <w:adjustRightInd w:val="0"/>
      <w:spacing w:after="0" w:line="248" w:lineRule="exact"/>
      <w:ind w:hanging="28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465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50">
    <w:name w:val="Style50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4">
    <w:name w:val="Font Style74"/>
    <w:basedOn w:val="DefaultParagraphFont"/>
    <w:uiPriority w:val="99"/>
    <w:rsid w:val="000F76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6">
    <w:name w:val="Font Style76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D73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dministrator\Sintact%202.0\cache\Legislatie\temp\0013118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D3FF-30C5-499F-B51A-B16FEB6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8</cp:revision>
  <cp:lastPrinted>2017-09-18T06:40:00Z</cp:lastPrinted>
  <dcterms:created xsi:type="dcterms:W3CDTF">2017-09-19T06:32:00Z</dcterms:created>
  <dcterms:modified xsi:type="dcterms:W3CDTF">2017-09-19T07:12:00Z</dcterms:modified>
</cp:coreProperties>
</file>